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0F6B2" w14:textId="19613EE6" w:rsidR="00573EBD" w:rsidRPr="00573EBD" w:rsidRDefault="00573EBD" w:rsidP="00573EBD">
      <w:pPr>
        <w:spacing w:after="240" w:line="240" w:lineRule="auto"/>
        <w:jc w:val="center"/>
        <w:rPr>
          <w:rFonts w:ascii="Arial" w:eastAsia="Times New Roman" w:hAnsi="Arial" w:cs="Times New Roman"/>
          <w:sz w:val="20"/>
          <w:szCs w:val="24"/>
        </w:rPr>
      </w:pPr>
      <w:bookmarkStart w:id="0" w:name="_Hlk87280544"/>
      <w:r w:rsidRPr="00573EBD">
        <w:rPr>
          <w:rFonts w:ascii="Arial" w:eastAsia="Times New Roman" w:hAnsi="Arial" w:cs="Times New Roman"/>
          <w:noProof/>
          <w:sz w:val="20"/>
          <w:szCs w:val="24"/>
          <w:lang w:eastAsia="en-AU"/>
        </w:rPr>
        <w:drawing>
          <wp:inline distT="0" distB="0" distL="0" distR="0" wp14:anchorId="6A65BA17" wp14:editId="0954E852">
            <wp:extent cx="2261870" cy="1265555"/>
            <wp:effectExtent l="0" t="0" r="5080" b="0"/>
            <wp:docPr id="1" name="Picture 1" descr="MJ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JA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1870" cy="1265555"/>
                    </a:xfrm>
                    <a:prstGeom prst="rect">
                      <a:avLst/>
                    </a:prstGeom>
                    <a:noFill/>
                    <a:ln>
                      <a:noFill/>
                    </a:ln>
                  </pic:spPr>
                </pic:pic>
              </a:graphicData>
            </a:graphic>
          </wp:inline>
        </w:drawing>
      </w:r>
    </w:p>
    <w:p w14:paraId="4924EB8C" w14:textId="77777777" w:rsidR="00573EBD" w:rsidRPr="00573EBD" w:rsidRDefault="00573EBD" w:rsidP="00573EBD">
      <w:pPr>
        <w:spacing w:after="240" w:line="240" w:lineRule="auto"/>
        <w:rPr>
          <w:rFonts w:ascii="Arial" w:eastAsia="Times New Roman" w:hAnsi="Arial" w:cs="Times New Roman"/>
          <w:sz w:val="20"/>
          <w:szCs w:val="24"/>
        </w:rPr>
      </w:pPr>
    </w:p>
    <w:p w14:paraId="286D2E61" w14:textId="77777777" w:rsidR="00573EBD" w:rsidRPr="00573EBD" w:rsidRDefault="00573EBD" w:rsidP="00573EBD">
      <w:pPr>
        <w:spacing w:after="240" w:line="240" w:lineRule="auto"/>
        <w:rPr>
          <w:rFonts w:ascii="Arial" w:eastAsia="Times New Roman" w:hAnsi="Arial" w:cs="Times New Roman"/>
          <w:sz w:val="20"/>
          <w:szCs w:val="24"/>
        </w:rPr>
      </w:pPr>
    </w:p>
    <w:p w14:paraId="7F9914E1" w14:textId="77777777" w:rsidR="00573EBD" w:rsidRPr="00573EBD" w:rsidRDefault="00573EBD" w:rsidP="00573EBD">
      <w:pPr>
        <w:spacing w:after="240" w:line="240" w:lineRule="auto"/>
        <w:rPr>
          <w:rFonts w:ascii="Arial" w:eastAsia="Times New Roman" w:hAnsi="Arial" w:cs="Times New Roman"/>
          <w:sz w:val="20"/>
          <w:szCs w:val="24"/>
        </w:rPr>
      </w:pPr>
    </w:p>
    <w:p w14:paraId="2EC2ED2E" w14:textId="77777777" w:rsidR="00573EBD" w:rsidRPr="00573EBD" w:rsidRDefault="00573EBD" w:rsidP="00573EBD">
      <w:pPr>
        <w:spacing w:after="240" w:line="240" w:lineRule="auto"/>
        <w:rPr>
          <w:rFonts w:ascii="Arial" w:eastAsia="Times New Roman" w:hAnsi="Arial" w:cs="Times New Roman"/>
          <w:sz w:val="20"/>
          <w:szCs w:val="24"/>
        </w:rPr>
      </w:pPr>
    </w:p>
    <w:p w14:paraId="0711D7DA" w14:textId="77777777" w:rsidR="00573EBD" w:rsidRPr="00573EBD" w:rsidRDefault="00573EBD" w:rsidP="00573EBD">
      <w:pPr>
        <w:keepNext/>
        <w:widowControl w:val="0"/>
        <w:spacing w:before="300" w:after="120" w:line="226" w:lineRule="exact"/>
        <w:rPr>
          <w:rFonts w:ascii="Arial Black" w:eastAsia="Times New Roman" w:hAnsi="Arial Black" w:cs="Times New Roman"/>
          <w:noProof/>
          <w:color w:val="000000"/>
          <w:sz w:val="24"/>
          <w:szCs w:val="24"/>
        </w:rPr>
      </w:pPr>
      <w:r w:rsidRPr="00573EBD">
        <w:rPr>
          <w:rFonts w:ascii="Arial Black" w:eastAsia="Times New Roman" w:hAnsi="Arial Black" w:cs="Times New Roman"/>
          <w:noProof/>
          <w:color w:val="000000"/>
          <w:sz w:val="24"/>
          <w:szCs w:val="24"/>
        </w:rPr>
        <w:t>Supporting Information</w:t>
      </w:r>
    </w:p>
    <w:p w14:paraId="52928D60" w14:textId="6B50BFB9" w:rsidR="00573EBD" w:rsidRPr="00573EBD" w:rsidRDefault="00573EBD" w:rsidP="00573EBD">
      <w:pPr>
        <w:keepNext/>
        <w:widowControl w:val="0"/>
        <w:spacing w:before="300" w:after="120" w:line="226" w:lineRule="exact"/>
        <w:rPr>
          <w:rFonts w:ascii="Arial Black" w:eastAsia="Times New Roman" w:hAnsi="Arial Black" w:cs="Times New Roman"/>
          <w:noProof/>
          <w:color w:val="000000"/>
          <w:sz w:val="24"/>
          <w:szCs w:val="24"/>
        </w:rPr>
      </w:pPr>
      <w:r w:rsidRPr="00573EBD">
        <w:rPr>
          <w:rFonts w:ascii="Arial Black" w:eastAsia="Times New Roman" w:hAnsi="Arial Black" w:cs="Times New Roman"/>
          <w:noProof/>
          <w:color w:val="000000"/>
          <w:sz w:val="24"/>
          <w:szCs w:val="24"/>
        </w:rPr>
        <w:t xml:space="preserve">Supplementary </w:t>
      </w:r>
      <w:r>
        <w:rPr>
          <w:rFonts w:ascii="Arial Black" w:eastAsia="Times New Roman" w:hAnsi="Arial Black" w:cs="Times New Roman"/>
          <w:noProof/>
          <w:color w:val="000000"/>
          <w:sz w:val="24"/>
          <w:szCs w:val="24"/>
        </w:rPr>
        <w:t xml:space="preserve">methods and </w:t>
      </w:r>
      <w:r w:rsidRPr="00573EBD">
        <w:rPr>
          <w:rFonts w:ascii="Arial Black" w:eastAsia="Times New Roman" w:hAnsi="Arial Black" w:cs="Times New Roman"/>
          <w:noProof/>
          <w:color w:val="000000"/>
          <w:sz w:val="24"/>
          <w:szCs w:val="24"/>
        </w:rPr>
        <w:t>results</w:t>
      </w:r>
    </w:p>
    <w:p w14:paraId="5B468B24" w14:textId="77777777" w:rsidR="00573EBD" w:rsidRPr="00573EBD" w:rsidRDefault="00573EBD" w:rsidP="00573EBD">
      <w:pPr>
        <w:spacing w:after="240" w:line="240" w:lineRule="auto"/>
        <w:rPr>
          <w:rFonts w:ascii="Arial" w:eastAsia="Times New Roman" w:hAnsi="Arial" w:cs="Times New Roman"/>
          <w:b/>
          <w:sz w:val="20"/>
          <w:szCs w:val="24"/>
        </w:rPr>
      </w:pPr>
      <w:r w:rsidRPr="00573EBD">
        <w:rPr>
          <w:rFonts w:ascii="Arial" w:eastAsia="Times New Roman" w:hAnsi="Arial" w:cs="Times New Roman"/>
          <w:b/>
          <w:sz w:val="20"/>
          <w:szCs w:val="24"/>
        </w:rPr>
        <w:t xml:space="preserve">This appendix was part of the submitted manuscript and has been peer reviewed. </w:t>
      </w:r>
      <w:r w:rsidRPr="00573EBD">
        <w:rPr>
          <w:rFonts w:ascii="Arial" w:eastAsia="Times New Roman" w:hAnsi="Arial" w:cs="Times New Roman"/>
          <w:b/>
          <w:sz w:val="20"/>
          <w:szCs w:val="24"/>
        </w:rPr>
        <w:br/>
        <w:t>It is posted as supplied by the authors.</w:t>
      </w:r>
    </w:p>
    <w:p w14:paraId="3C54DA2A" w14:textId="77777777" w:rsidR="00573EBD" w:rsidRPr="00573EBD" w:rsidRDefault="00573EBD" w:rsidP="00573EBD">
      <w:pPr>
        <w:spacing w:after="240" w:line="240" w:lineRule="auto"/>
        <w:rPr>
          <w:rFonts w:ascii="Arial" w:eastAsia="Times New Roman" w:hAnsi="Arial" w:cs="Times New Roman"/>
          <w:sz w:val="20"/>
          <w:szCs w:val="24"/>
        </w:rPr>
      </w:pPr>
    </w:p>
    <w:p w14:paraId="1E42614A" w14:textId="77777777" w:rsidR="00573EBD" w:rsidRPr="00573EBD" w:rsidRDefault="00573EBD" w:rsidP="00573EBD">
      <w:pPr>
        <w:spacing w:after="240" w:line="240" w:lineRule="auto"/>
        <w:rPr>
          <w:rFonts w:ascii="Arial" w:eastAsia="Times New Roman" w:hAnsi="Arial" w:cs="Times New Roman"/>
          <w:sz w:val="20"/>
          <w:szCs w:val="24"/>
        </w:rPr>
      </w:pPr>
      <w:r w:rsidRPr="00573EBD">
        <w:rPr>
          <w:rFonts w:ascii="Arial" w:eastAsia="Times New Roman" w:hAnsi="Arial" w:cs="Times New Roman"/>
          <w:sz w:val="20"/>
          <w:szCs w:val="24"/>
        </w:rPr>
        <w:t xml:space="preserve">Appendix to: Oliver J, Hardy M, Osowicki J, et al. Acute rheumatic fever and rheumatic heart disease in Victoria, 2006–18. </w:t>
      </w:r>
      <w:r w:rsidRPr="00573EBD">
        <w:rPr>
          <w:rFonts w:ascii="Arial" w:eastAsia="Times New Roman" w:hAnsi="Arial" w:cs="Times New Roman"/>
          <w:i/>
          <w:sz w:val="20"/>
          <w:szCs w:val="24"/>
        </w:rPr>
        <w:t xml:space="preserve">Med J </w:t>
      </w:r>
      <w:proofErr w:type="spellStart"/>
      <w:r w:rsidRPr="00573EBD">
        <w:rPr>
          <w:rFonts w:ascii="Arial" w:eastAsia="Times New Roman" w:hAnsi="Arial" w:cs="Times New Roman"/>
          <w:i/>
          <w:sz w:val="20"/>
          <w:szCs w:val="24"/>
        </w:rPr>
        <w:t>Aust</w:t>
      </w:r>
      <w:proofErr w:type="spellEnd"/>
      <w:r w:rsidRPr="00573EBD">
        <w:rPr>
          <w:rFonts w:ascii="Arial" w:eastAsia="Times New Roman" w:hAnsi="Arial" w:cs="Times New Roman"/>
          <w:sz w:val="20"/>
          <w:szCs w:val="24"/>
        </w:rPr>
        <w:t xml:space="preserve"> 2022; </w:t>
      </w:r>
      <w:proofErr w:type="spellStart"/>
      <w:r w:rsidRPr="00573EBD">
        <w:rPr>
          <w:rFonts w:ascii="Arial" w:eastAsia="Times New Roman" w:hAnsi="Arial" w:cs="Times New Roman"/>
          <w:sz w:val="20"/>
          <w:szCs w:val="24"/>
        </w:rPr>
        <w:t>doi</w:t>
      </w:r>
      <w:proofErr w:type="spellEnd"/>
      <w:r w:rsidRPr="00573EBD">
        <w:rPr>
          <w:rFonts w:ascii="Arial" w:eastAsia="Times New Roman" w:hAnsi="Arial" w:cs="Times New Roman"/>
          <w:sz w:val="20"/>
          <w:szCs w:val="24"/>
        </w:rPr>
        <w:t>: 10.5694/mja2.</w:t>
      </w:r>
      <w:r w:rsidRPr="00573EBD">
        <w:rPr>
          <w:rFonts w:ascii="Arial" w:eastAsia="Times New Roman" w:hAnsi="Arial" w:cs="Times New Roman"/>
          <w:sz w:val="20"/>
          <w:szCs w:val="24"/>
          <w:highlight w:val="yellow"/>
        </w:rPr>
        <w:t>00000</w:t>
      </w:r>
      <w:r w:rsidRPr="00573EBD">
        <w:rPr>
          <w:rFonts w:ascii="Arial" w:eastAsia="Times New Roman" w:hAnsi="Arial" w:cs="Times New Roman"/>
          <w:sz w:val="20"/>
          <w:szCs w:val="24"/>
        </w:rPr>
        <w:t>.</w:t>
      </w:r>
    </w:p>
    <w:p w14:paraId="3A06EFD6" w14:textId="42B6BE5E" w:rsidR="002357C0" w:rsidRPr="009B32A4" w:rsidRDefault="00573EBD" w:rsidP="00573EBD">
      <w:pPr>
        <w:widowControl w:val="0"/>
        <w:tabs>
          <w:tab w:val="left" w:pos="238"/>
          <w:tab w:val="right" w:pos="3360"/>
          <w:tab w:val="right" w:pos="5040"/>
        </w:tabs>
        <w:overflowPunct w:val="0"/>
        <w:autoSpaceDE w:val="0"/>
        <w:autoSpaceDN w:val="0"/>
        <w:adjustRightInd w:val="0"/>
        <w:spacing w:after="240" w:line="160" w:lineRule="atLeast"/>
        <w:jc w:val="both"/>
        <w:textAlignment w:val="baseline"/>
        <w:rPr>
          <w:rFonts w:ascii="Times New Roman" w:hAnsi="Times New Roman" w:cs="Times New Roman"/>
          <w:b/>
          <w:bCs/>
          <w:color w:val="000000" w:themeColor="text1"/>
          <w:sz w:val="20"/>
          <w:szCs w:val="20"/>
        </w:rPr>
      </w:pPr>
      <w:r w:rsidRPr="00573EBD">
        <w:rPr>
          <w:rFonts w:ascii="Arial" w:eastAsia="Times New Roman" w:hAnsi="Arial" w:cs="Times New Roman"/>
          <w:sz w:val="20"/>
          <w:szCs w:val="24"/>
        </w:rPr>
        <w:br w:type="page"/>
      </w:r>
      <w:r w:rsidR="00FD1C13">
        <w:rPr>
          <w:rFonts w:ascii="Times New Roman" w:hAnsi="Times New Roman" w:cs="Times New Roman"/>
          <w:b/>
          <w:bCs/>
          <w:color w:val="000000" w:themeColor="text1"/>
          <w:sz w:val="20"/>
          <w:szCs w:val="20"/>
        </w:rPr>
        <w:lastRenderedPageBreak/>
        <w:t>Supplementary methods</w:t>
      </w:r>
      <w:r w:rsidR="002357C0" w:rsidRPr="009B32A4">
        <w:rPr>
          <w:rFonts w:ascii="Times New Roman" w:hAnsi="Times New Roman" w:cs="Times New Roman"/>
          <w:b/>
          <w:bCs/>
          <w:color w:val="000000" w:themeColor="text1"/>
          <w:sz w:val="20"/>
          <w:szCs w:val="20"/>
        </w:rPr>
        <w:t xml:space="preserve"> </w:t>
      </w:r>
    </w:p>
    <w:p w14:paraId="326E6257" w14:textId="4C9FB1C3" w:rsidR="00086B65" w:rsidRPr="009B32A4" w:rsidRDefault="00206663" w:rsidP="00CF11F0">
      <w:pPr>
        <w:spacing w:line="360" w:lineRule="auto"/>
        <w:rPr>
          <w:rFonts w:ascii="Times New Roman" w:hAnsi="Times New Roman" w:cs="Times New Roman"/>
          <w:color w:val="000000" w:themeColor="text1"/>
          <w:sz w:val="20"/>
          <w:szCs w:val="20"/>
        </w:rPr>
      </w:pPr>
      <w:r>
        <w:rPr>
          <w:rFonts w:ascii="Times New Roman" w:hAnsi="Times New Roman" w:cs="Times New Roman"/>
          <w:sz w:val="20"/>
          <w:szCs w:val="20"/>
        </w:rPr>
        <w:t xml:space="preserve">De-identified line-listed data from </w:t>
      </w:r>
      <w:r w:rsidR="002A0A6E">
        <w:rPr>
          <w:rFonts w:ascii="Times New Roman" w:hAnsi="Times New Roman" w:cs="Times New Roman"/>
          <w:sz w:val="20"/>
          <w:szCs w:val="20"/>
        </w:rPr>
        <w:t xml:space="preserve">the </w:t>
      </w:r>
      <w:r w:rsidR="002357C0" w:rsidRPr="009B32A4">
        <w:rPr>
          <w:rFonts w:ascii="Times New Roman" w:hAnsi="Times New Roman" w:cs="Times New Roman"/>
          <w:sz w:val="20"/>
          <w:szCs w:val="20"/>
        </w:rPr>
        <w:t xml:space="preserve">Victorian Admitted Episode Dataset (VAED) </w:t>
      </w:r>
      <w:r w:rsidR="002357C0" w:rsidRPr="00ED37F9">
        <w:rPr>
          <w:rFonts w:ascii="Times New Roman" w:hAnsi="Times New Roman" w:cs="Times New Roman"/>
          <w:sz w:val="20"/>
          <w:szCs w:val="20"/>
        </w:rPr>
        <w:t>and</w:t>
      </w:r>
      <w:r w:rsidRPr="00ED37F9">
        <w:rPr>
          <w:rFonts w:ascii="Times New Roman" w:hAnsi="Times New Roman" w:cs="Times New Roman"/>
          <w:sz w:val="20"/>
          <w:szCs w:val="20"/>
        </w:rPr>
        <w:t xml:space="preserve"> </w:t>
      </w:r>
      <w:r w:rsidR="002A0A6E" w:rsidRPr="00573EBD">
        <w:rPr>
          <w:rFonts w:ascii="Times New Roman" w:hAnsi="Times New Roman" w:cs="Times New Roman"/>
          <w:sz w:val="20"/>
          <w:szCs w:val="20"/>
        </w:rPr>
        <w:t>N</w:t>
      </w:r>
      <w:r w:rsidR="002357C0" w:rsidRPr="00573EBD">
        <w:rPr>
          <w:rFonts w:ascii="Times New Roman" w:hAnsi="Times New Roman" w:cs="Times New Roman"/>
          <w:sz w:val="20"/>
          <w:szCs w:val="20"/>
        </w:rPr>
        <w:t xml:space="preserve">ational </w:t>
      </w:r>
      <w:r w:rsidR="004577D8" w:rsidRPr="00573EBD">
        <w:rPr>
          <w:rFonts w:ascii="Times New Roman" w:hAnsi="Times New Roman" w:cs="Times New Roman"/>
          <w:sz w:val="20"/>
          <w:szCs w:val="20"/>
        </w:rPr>
        <w:t xml:space="preserve">Cause of Death Unit Record </w:t>
      </w:r>
      <w:proofErr w:type="gramStart"/>
      <w:r w:rsidR="004577D8" w:rsidRPr="00573EBD">
        <w:rPr>
          <w:rFonts w:ascii="Times New Roman" w:hAnsi="Times New Roman" w:cs="Times New Roman"/>
          <w:sz w:val="20"/>
          <w:szCs w:val="20"/>
        </w:rPr>
        <w:t>File</w:t>
      </w:r>
      <w:r w:rsidR="008217E9" w:rsidRPr="00573EBD">
        <w:rPr>
          <w:rFonts w:ascii="Times New Roman" w:hAnsi="Times New Roman" w:cs="Times New Roman"/>
          <w:noProof/>
          <w:sz w:val="20"/>
          <w:szCs w:val="20"/>
        </w:rPr>
        <w:t>(</w:t>
      </w:r>
      <w:proofErr w:type="gramEnd"/>
      <w:r w:rsidR="008217E9" w:rsidRPr="00573EBD">
        <w:rPr>
          <w:rFonts w:ascii="Times New Roman" w:hAnsi="Times New Roman" w:cs="Times New Roman"/>
          <w:noProof/>
          <w:sz w:val="20"/>
          <w:szCs w:val="20"/>
        </w:rPr>
        <w:t>1, 2)</w:t>
      </w:r>
      <w:r w:rsidR="002357C0" w:rsidRPr="00573EBD">
        <w:rPr>
          <w:rFonts w:ascii="Times New Roman" w:hAnsi="Times New Roman" w:cs="Times New Roman"/>
          <w:sz w:val="20"/>
          <w:szCs w:val="20"/>
        </w:rPr>
        <w:t xml:space="preserve"> </w:t>
      </w:r>
      <w:r w:rsidR="002357C0" w:rsidRPr="009B32A4">
        <w:rPr>
          <w:rFonts w:ascii="Times New Roman" w:hAnsi="Times New Roman" w:cs="Times New Roman"/>
          <w:sz w:val="20"/>
          <w:szCs w:val="20"/>
        </w:rPr>
        <w:t>were provided by the Victorian Department of Health Centre for Victorian Data Linkage (CVDL). Diagnostic information was captured using International Classification of Diseases and Related Health Problems, Tenth Revision, Australian Modifications (ICD-10-AM)</w:t>
      </w:r>
      <w:r w:rsidR="00EC5B41">
        <w:rPr>
          <w:rFonts w:ascii="Times New Roman" w:hAnsi="Times New Roman" w:cs="Times New Roman"/>
          <w:sz w:val="20"/>
          <w:szCs w:val="20"/>
        </w:rPr>
        <w:t xml:space="preserve"> codes</w:t>
      </w:r>
      <w:r w:rsidR="002357C0" w:rsidRPr="009B32A4">
        <w:rPr>
          <w:rFonts w:ascii="Times New Roman" w:hAnsi="Times New Roman" w:cs="Times New Roman"/>
          <w:sz w:val="20"/>
          <w:szCs w:val="20"/>
        </w:rPr>
        <w:t>.</w:t>
      </w:r>
      <w:r w:rsidR="008217E9" w:rsidRPr="009B32A4">
        <w:rPr>
          <w:rFonts w:ascii="Times New Roman" w:hAnsi="Times New Roman" w:cs="Times New Roman"/>
          <w:noProof/>
          <w:sz w:val="20"/>
          <w:szCs w:val="20"/>
        </w:rPr>
        <w:t>(</w:t>
      </w:r>
      <w:r w:rsidR="00ED37F9">
        <w:rPr>
          <w:rFonts w:ascii="Times New Roman" w:hAnsi="Times New Roman" w:cs="Times New Roman"/>
          <w:noProof/>
          <w:sz w:val="20"/>
          <w:szCs w:val="20"/>
        </w:rPr>
        <w:t>3</w:t>
      </w:r>
      <w:r w:rsidR="008217E9" w:rsidRPr="009B32A4">
        <w:rPr>
          <w:rFonts w:ascii="Times New Roman" w:hAnsi="Times New Roman" w:cs="Times New Roman"/>
          <w:noProof/>
          <w:sz w:val="20"/>
          <w:szCs w:val="20"/>
        </w:rPr>
        <w:t>)</w:t>
      </w:r>
      <w:r w:rsidR="002357C0" w:rsidRPr="009B32A4">
        <w:rPr>
          <w:rFonts w:ascii="Times New Roman" w:hAnsi="Times New Roman" w:cs="Times New Roman"/>
          <w:sz w:val="20"/>
          <w:szCs w:val="20"/>
        </w:rPr>
        <w:t xml:space="preserve"> A unique person identifier, encrypted to protect privacy, was added by CVDL to all records following individual record linkage.</w:t>
      </w:r>
      <w:r w:rsidR="008217E9" w:rsidRPr="009B32A4">
        <w:rPr>
          <w:rFonts w:ascii="Times New Roman" w:hAnsi="Times New Roman" w:cs="Times New Roman"/>
          <w:noProof/>
          <w:sz w:val="20"/>
          <w:szCs w:val="20"/>
        </w:rPr>
        <w:t>(</w:t>
      </w:r>
      <w:r w:rsidR="00ED37F9">
        <w:rPr>
          <w:rFonts w:ascii="Times New Roman" w:hAnsi="Times New Roman" w:cs="Times New Roman"/>
          <w:noProof/>
          <w:sz w:val="20"/>
          <w:szCs w:val="20"/>
        </w:rPr>
        <w:t>2</w:t>
      </w:r>
      <w:r w:rsidR="008217E9" w:rsidRPr="009B32A4">
        <w:rPr>
          <w:rFonts w:ascii="Times New Roman" w:hAnsi="Times New Roman" w:cs="Times New Roman"/>
          <w:noProof/>
          <w:sz w:val="20"/>
          <w:szCs w:val="20"/>
        </w:rPr>
        <w:t>)</w:t>
      </w:r>
      <w:r w:rsidR="005D259F" w:rsidRPr="009B32A4">
        <w:rPr>
          <w:rFonts w:ascii="Times New Roman" w:hAnsi="Times New Roman" w:cs="Times New Roman"/>
          <w:sz w:val="20"/>
          <w:szCs w:val="20"/>
        </w:rPr>
        <w:t xml:space="preserve"> </w:t>
      </w:r>
      <w:r w:rsidR="00D94407">
        <w:rPr>
          <w:rFonts w:ascii="Times New Roman" w:hAnsi="Times New Roman" w:cs="Times New Roman"/>
          <w:sz w:val="20"/>
          <w:szCs w:val="20"/>
        </w:rPr>
        <w:t xml:space="preserve"> </w:t>
      </w:r>
      <w:r w:rsidR="002357C0" w:rsidRPr="009B32A4">
        <w:rPr>
          <w:rFonts w:ascii="Times New Roman" w:hAnsi="Times New Roman" w:cs="Times New Roman"/>
          <w:sz w:val="20"/>
          <w:szCs w:val="20"/>
        </w:rPr>
        <w:t>VAED data included unique person identifiers, principal diagnosis, additional diagnoses, month and year of hospital admission, age group, sex, residential local government area, and Aboriginal/Torres Strait Islander status.</w:t>
      </w:r>
      <w:r w:rsidR="00D94407">
        <w:rPr>
          <w:rFonts w:ascii="Times New Roman" w:hAnsi="Times New Roman" w:cs="Times New Roman"/>
          <w:i/>
          <w:iCs/>
          <w:sz w:val="20"/>
          <w:szCs w:val="20"/>
        </w:rPr>
        <w:t xml:space="preserve"> </w:t>
      </w:r>
      <w:r w:rsidR="002357C0" w:rsidRPr="009B32A4">
        <w:rPr>
          <w:rFonts w:ascii="Times New Roman" w:hAnsi="Times New Roman" w:cs="Times New Roman"/>
          <w:sz w:val="20"/>
          <w:szCs w:val="20"/>
        </w:rPr>
        <w:t xml:space="preserve">All VAED admissions where the principal diagnosis corresponded to ARF (ICD-10-AM: I00-I02) or RHD (ICD-10-AM: I05-I09) were </w:t>
      </w:r>
      <w:r w:rsidR="00D16C7C" w:rsidRPr="009B32A4">
        <w:rPr>
          <w:rFonts w:ascii="Times New Roman" w:hAnsi="Times New Roman" w:cs="Times New Roman"/>
          <w:sz w:val="20"/>
          <w:szCs w:val="20"/>
        </w:rPr>
        <w:t>included; a</w:t>
      </w:r>
      <w:r w:rsidR="002357C0" w:rsidRPr="009B32A4">
        <w:rPr>
          <w:rFonts w:ascii="Times New Roman" w:hAnsi="Times New Roman" w:cs="Times New Roman"/>
          <w:sz w:val="20"/>
          <w:szCs w:val="20"/>
        </w:rPr>
        <w:t xml:space="preserve"> single patient </w:t>
      </w:r>
      <w:r w:rsidR="00AD2E33">
        <w:rPr>
          <w:rFonts w:ascii="Times New Roman" w:hAnsi="Times New Roman" w:cs="Times New Roman"/>
          <w:sz w:val="20"/>
          <w:szCs w:val="20"/>
        </w:rPr>
        <w:t>could be</w:t>
      </w:r>
      <w:r w:rsidR="002357C0" w:rsidRPr="009B32A4">
        <w:rPr>
          <w:rFonts w:ascii="Times New Roman" w:hAnsi="Times New Roman" w:cs="Times New Roman"/>
          <w:sz w:val="20"/>
          <w:szCs w:val="20"/>
        </w:rPr>
        <w:t xml:space="preserve"> hospitalised multiple times in either dataset. Patients not recorded as Victorian residents were excluded. Descriptive analyses of selected variables were performed. Population incidence and mortality rates with 95% confidence intervals (CI) were calculated using annual census estimates (Australian Bureau of Statistics).</w:t>
      </w:r>
      <w:r w:rsidR="008217E9" w:rsidRPr="009B32A4">
        <w:rPr>
          <w:rFonts w:ascii="Times New Roman" w:hAnsi="Times New Roman" w:cs="Times New Roman"/>
          <w:noProof/>
          <w:sz w:val="20"/>
          <w:szCs w:val="20"/>
        </w:rPr>
        <w:t>(</w:t>
      </w:r>
      <w:r w:rsidR="00ED37F9">
        <w:rPr>
          <w:rFonts w:ascii="Times New Roman" w:hAnsi="Times New Roman" w:cs="Times New Roman"/>
          <w:noProof/>
          <w:sz w:val="20"/>
          <w:szCs w:val="20"/>
        </w:rPr>
        <w:t>4</w:t>
      </w:r>
      <w:r w:rsidR="008217E9" w:rsidRPr="009B32A4">
        <w:rPr>
          <w:rFonts w:ascii="Times New Roman" w:hAnsi="Times New Roman" w:cs="Times New Roman"/>
          <w:noProof/>
          <w:sz w:val="20"/>
          <w:szCs w:val="20"/>
        </w:rPr>
        <w:t>)</w:t>
      </w:r>
      <w:r w:rsidR="002357C0" w:rsidRPr="009B32A4">
        <w:rPr>
          <w:rFonts w:ascii="Times New Roman" w:hAnsi="Times New Roman" w:cs="Times New Roman"/>
          <w:color w:val="FF0000"/>
          <w:sz w:val="20"/>
          <w:szCs w:val="20"/>
        </w:rPr>
        <w:t xml:space="preserve"> </w:t>
      </w:r>
      <w:r w:rsidR="002357C0" w:rsidRPr="009B32A4">
        <w:rPr>
          <w:rFonts w:ascii="Times New Roman" w:hAnsi="Times New Roman" w:cs="Times New Roman"/>
          <w:color w:val="000000" w:themeColor="text1"/>
          <w:sz w:val="20"/>
          <w:szCs w:val="20"/>
        </w:rPr>
        <w:t>Incidence rate ratios (IRR) with 95% CIs were calculated using Poisson regression. Analyses by Indigenous Australian ethnicity focused first on the population overall and then on those aged less than 40 years</w:t>
      </w:r>
      <w:r w:rsidR="00D94407">
        <w:rPr>
          <w:rFonts w:ascii="Times New Roman" w:hAnsi="Times New Roman" w:cs="Times New Roman"/>
          <w:color w:val="000000" w:themeColor="text1"/>
          <w:sz w:val="20"/>
          <w:szCs w:val="20"/>
        </w:rPr>
        <w:t>.</w:t>
      </w:r>
      <w:r w:rsidR="002357C0" w:rsidRPr="009B32A4">
        <w:rPr>
          <w:rFonts w:ascii="Times New Roman" w:hAnsi="Times New Roman" w:cs="Times New Roman"/>
          <w:color w:val="000000" w:themeColor="text1"/>
          <w:sz w:val="20"/>
          <w:szCs w:val="20"/>
        </w:rPr>
        <w:t xml:space="preserve"> </w:t>
      </w:r>
      <w:r w:rsidR="002357C0" w:rsidRPr="009B32A4">
        <w:rPr>
          <w:rFonts w:ascii="Times New Roman" w:hAnsi="Times New Roman" w:cs="Times New Roman"/>
          <w:sz w:val="20"/>
          <w:szCs w:val="20"/>
        </w:rPr>
        <w:t xml:space="preserve">Proportions and rates were compared using Chi-squared or Fisher exact tests. </w:t>
      </w:r>
      <w:r w:rsidR="002357C0" w:rsidRPr="009B32A4">
        <w:rPr>
          <w:rFonts w:ascii="Times New Roman" w:hAnsi="Times New Roman" w:cs="Times New Roman"/>
          <w:color w:val="000000" w:themeColor="text1"/>
          <w:sz w:val="20"/>
          <w:szCs w:val="20"/>
        </w:rPr>
        <w:t xml:space="preserve">A statistically significant difference was ascribed where </w:t>
      </w:r>
      <w:r w:rsidR="002357C0" w:rsidRPr="009B32A4">
        <w:rPr>
          <w:rFonts w:ascii="Times New Roman" w:hAnsi="Times New Roman" w:cs="Times New Roman"/>
          <w:i/>
          <w:iCs/>
          <w:color w:val="000000" w:themeColor="text1"/>
          <w:sz w:val="20"/>
          <w:szCs w:val="20"/>
        </w:rPr>
        <w:t>p</w:t>
      </w:r>
      <w:r w:rsidR="002357C0" w:rsidRPr="009B32A4">
        <w:rPr>
          <w:rFonts w:ascii="Times New Roman" w:hAnsi="Times New Roman" w:cs="Times New Roman"/>
          <w:color w:val="000000" w:themeColor="text1"/>
          <w:sz w:val="20"/>
          <w:szCs w:val="20"/>
        </w:rPr>
        <w:t>&lt;0.05. Statistical analyses were conducted using S</w:t>
      </w:r>
      <w:r w:rsidR="004577D8">
        <w:rPr>
          <w:rFonts w:ascii="Times New Roman" w:hAnsi="Times New Roman" w:cs="Times New Roman"/>
          <w:color w:val="000000" w:themeColor="text1"/>
          <w:sz w:val="20"/>
          <w:szCs w:val="20"/>
        </w:rPr>
        <w:t>tata</w:t>
      </w:r>
      <w:r w:rsidR="002357C0" w:rsidRPr="009B32A4">
        <w:rPr>
          <w:rFonts w:ascii="Times New Roman" w:hAnsi="Times New Roman" w:cs="Times New Roman"/>
          <w:color w:val="000000" w:themeColor="text1"/>
          <w:sz w:val="20"/>
          <w:szCs w:val="20"/>
        </w:rPr>
        <w:t xml:space="preserve"> 16.1</w:t>
      </w:r>
      <w:r w:rsidR="00101D6F" w:rsidRPr="009B32A4">
        <w:rPr>
          <w:rFonts w:ascii="Times New Roman" w:hAnsi="Times New Roman" w:cs="Times New Roman"/>
          <w:color w:val="000000" w:themeColor="text1"/>
          <w:sz w:val="20"/>
          <w:szCs w:val="20"/>
        </w:rPr>
        <w:t xml:space="preserve"> and </w:t>
      </w:r>
      <w:proofErr w:type="gramStart"/>
      <w:r w:rsidR="00101D6F" w:rsidRPr="009B32A4">
        <w:rPr>
          <w:rFonts w:ascii="Times New Roman" w:hAnsi="Times New Roman" w:cs="Times New Roman"/>
          <w:color w:val="000000" w:themeColor="text1"/>
          <w:sz w:val="20"/>
          <w:szCs w:val="20"/>
        </w:rPr>
        <w:t xml:space="preserve">R  </w:t>
      </w:r>
      <w:r w:rsidR="00625140" w:rsidRPr="009B32A4">
        <w:rPr>
          <w:rFonts w:ascii="Times New Roman" w:hAnsi="Times New Roman" w:cs="Times New Roman"/>
          <w:color w:val="000000" w:themeColor="text1"/>
          <w:sz w:val="20"/>
          <w:szCs w:val="20"/>
        </w:rPr>
        <w:t>4.1.0</w:t>
      </w:r>
      <w:proofErr w:type="gramEnd"/>
      <w:r w:rsidR="002357C0" w:rsidRPr="009B32A4">
        <w:rPr>
          <w:rFonts w:ascii="Times New Roman" w:hAnsi="Times New Roman" w:cs="Times New Roman"/>
          <w:color w:val="000000" w:themeColor="text1"/>
          <w:sz w:val="20"/>
          <w:szCs w:val="20"/>
        </w:rPr>
        <w:t>.</w:t>
      </w:r>
    </w:p>
    <w:p w14:paraId="71A724B7" w14:textId="77777777" w:rsidR="00C737DD" w:rsidRPr="009B32A4" w:rsidRDefault="00C737DD" w:rsidP="00CF11F0">
      <w:pPr>
        <w:spacing w:line="360" w:lineRule="auto"/>
        <w:rPr>
          <w:rFonts w:ascii="Times New Roman" w:hAnsi="Times New Roman" w:cs="Times New Roman"/>
          <w:color w:val="000000" w:themeColor="text1"/>
          <w:sz w:val="20"/>
          <w:szCs w:val="20"/>
        </w:rPr>
      </w:pPr>
    </w:p>
    <w:p w14:paraId="7788A294" w14:textId="6A4F9FB9" w:rsidR="008217E9" w:rsidRPr="009B32A4" w:rsidRDefault="00FD1C13" w:rsidP="00CF11F0">
      <w:pPr>
        <w:spacing w:line="360" w:lineRule="auto"/>
        <w:rPr>
          <w:rFonts w:ascii="Times New Roman" w:hAnsi="Times New Roman" w:cs="Times New Roman"/>
          <w:b/>
          <w:bCs/>
          <w:sz w:val="20"/>
          <w:szCs w:val="20"/>
        </w:rPr>
      </w:pPr>
      <w:r w:rsidRPr="009B32A4">
        <w:rPr>
          <w:rFonts w:ascii="Times New Roman" w:hAnsi="Times New Roman" w:cs="Times New Roman"/>
          <w:b/>
          <w:bCs/>
          <w:sz w:val="20"/>
          <w:szCs w:val="20"/>
        </w:rPr>
        <w:t>References</w:t>
      </w:r>
    </w:p>
    <w:p w14:paraId="591768D7" w14:textId="1ABB89AF" w:rsidR="008217E9" w:rsidRPr="009B32A4" w:rsidRDefault="008217E9" w:rsidP="008217E9">
      <w:pPr>
        <w:pStyle w:val="EndNoteBibliography"/>
        <w:spacing w:after="0"/>
        <w:rPr>
          <w:rFonts w:ascii="Times New Roman" w:hAnsi="Times New Roman" w:cs="Times New Roman"/>
          <w:sz w:val="20"/>
          <w:szCs w:val="20"/>
        </w:rPr>
      </w:pPr>
      <w:r w:rsidRPr="009B32A4">
        <w:rPr>
          <w:rFonts w:ascii="Times New Roman" w:hAnsi="Times New Roman" w:cs="Times New Roman"/>
          <w:sz w:val="20"/>
          <w:szCs w:val="20"/>
        </w:rPr>
        <w:t>1.</w:t>
      </w:r>
      <w:r w:rsidRPr="009B32A4">
        <w:rPr>
          <w:rFonts w:ascii="Times New Roman" w:hAnsi="Times New Roman" w:cs="Times New Roman"/>
          <w:sz w:val="20"/>
          <w:szCs w:val="20"/>
        </w:rPr>
        <w:tab/>
        <w:t>Victorian Department of Health and Human Services. Victorian Admitted Episodes Dataset (VAED) manual 25th edition 2015-16</w:t>
      </w:r>
      <w:r w:rsidR="0070185B" w:rsidRPr="009B32A4">
        <w:rPr>
          <w:rFonts w:ascii="Times New Roman" w:hAnsi="Times New Roman" w:cs="Times New Roman"/>
          <w:sz w:val="20"/>
          <w:szCs w:val="20"/>
        </w:rPr>
        <w:t>.</w:t>
      </w:r>
      <w:r w:rsidRPr="009B32A4">
        <w:rPr>
          <w:rFonts w:ascii="Times New Roman" w:hAnsi="Times New Roman" w:cs="Times New Roman"/>
          <w:sz w:val="20"/>
          <w:szCs w:val="20"/>
        </w:rPr>
        <w:t xml:space="preserve"> Victorian Government; 2016</w:t>
      </w:r>
      <w:r w:rsidR="0070185B" w:rsidRPr="009B32A4">
        <w:rPr>
          <w:rFonts w:ascii="Times New Roman" w:hAnsi="Times New Roman" w:cs="Times New Roman"/>
          <w:sz w:val="20"/>
          <w:szCs w:val="20"/>
        </w:rPr>
        <w:t xml:space="preserve">. </w:t>
      </w:r>
      <w:hyperlink r:id="rId10" w:history="1">
        <w:r w:rsidR="00BB2432" w:rsidRPr="009B32A4">
          <w:rPr>
            <w:rStyle w:val="Hyperlink"/>
            <w:rFonts w:ascii="Times New Roman" w:hAnsi="Times New Roman" w:cs="Times New Roman"/>
            <w:sz w:val="20"/>
            <w:szCs w:val="20"/>
          </w:rPr>
          <w:t>www.health.vic.gov.au/hdss/vaed/index.htm</w:t>
        </w:r>
      </w:hyperlink>
      <w:r w:rsidR="00BB2432" w:rsidRPr="009B32A4">
        <w:rPr>
          <w:rFonts w:ascii="Times New Roman" w:hAnsi="Times New Roman" w:cs="Times New Roman"/>
          <w:sz w:val="20"/>
          <w:szCs w:val="20"/>
        </w:rPr>
        <w:t xml:space="preserve"> (accessed </w:t>
      </w:r>
      <w:r w:rsidR="00951406" w:rsidRPr="009B32A4">
        <w:rPr>
          <w:rFonts w:ascii="Times New Roman" w:hAnsi="Times New Roman" w:cs="Times New Roman"/>
          <w:sz w:val="20"/>
          <w:szCs w:val="20"/>
        </w:rPr>
        <w:t>3 Feb 2021)</w:t>
      </w:r>
      <w:r w:rsidRPr="009B32A4">
        <w:rPr>
          <w:rFonts w:ascii="Times New Roman" w:hAnsi="Times New Roman" w:cs="Times New Roman"/>
          <w:sz w:val="20"/>
          <w:szCs w:val="20"/>
        </w:rPr>
        <w:t>.</w:t>
      </w:r>
    </w:p>
    <w:p w14:paraId="370DD971" w14:textId="21DDE65E" w:rsidR="008217E9" w:rsidRPr="009B32A4" w:rsidRDefault="008217E9" w:rsidP="008217E9">
      <w:pPr>
        <w:pStyle w:val="EndNoteBibliography"/>
        <w:spacing w:after="0"/>
        <w:rPr>
          <w:rFonts w:ascii="Times New Roman" w:hAnsi="Times New Roman" w:cs="Times New Roman"/>
          <w:sz w:val="20"/>
          <w:szCs w:val="20"/>
        </w:rPr>
      </w:pPr>
      <w:r w:rsidRPr="009B32A4">
        <w:rPr>
          <w:rFonts w:ascii="Times New Roman" w:hAnsi="Times New Roman" w:cs="Times New Roman"/>
          <w:sz w:val="20"/>
          <w:szCs w:val="20"/>
        </w:rPr>
        <w:t>2.</w:t>
      </w:r>
      <w:r w:rsidRPr="009B32A4">
        <w:rPr>
          <w:rFonts w:ascii="Times New Roman" w:hAnsi="Times New Roman" w:cs="Times New Roman"/>
          <w:sz w:val="20"/>
          <w:szCs w:val="20"/>
        </w:rPr>
        <w:tab/>
      </w:r>
      <w:r w:rsidR="00ED37F9" w:rsidRPr="009B32A4">
        <w:rPr>
          <w:rFonts w:ascii="Times New Roman" w:hAnsi="Times New Roman" w:cs="Times New Roman"/>
          <w:sz w:val="20"/>
          <w:szCs w:val="20"/>
        </w:rPr>
        <w:t xml:space="preserve">Victorian Department of Health and Human Services. For researchers. Melbourne, Australia. 2020. </w:t>
      </w:r>
      <w:hyperlink r:id="rId11" w:history="1">
        <w:r w:rsidR="00ED37F9" w:rsidRPr="009B32A4">
          <w:rPr>
            <w:rStyle w:val="Hyperlink"/>
            <w:rFonts w:ascii="Times New Roman" w:hAnsi="Times New Roman" w:cs="Times New Roman"/>
            <w:sz w:val="20"/>
            <w:szCs w:val="20"/>
          </w:rPr>
          <w:t>https://www2.health.vic.gov.au/about/reporting-planning-data/the-centre-for-victorian-data-linkage/for-researchers</w:t>
        </w:r>
      </w:hyperlink>
      <w:r w:rsidR="00ED37F9" w:rsidRPr="009B32A4">
        <w:rPr>
          <w:rFonts w:ascii="Times New Roman" w:hAnsi="Times New Roman" w:cs="Times New Roman"/>
          <w:sz w:val="20"/>
          <w:szCs w:val="20"/>
        </w:rPr>
        <w:t xml:space="preserve"> (accessed 20 Oct 2020).</w:t>
      </w:r>
    </w:p>
    <w:p w14:paraId="764B2EFB" w14:textId="50F95624" w:rsidR="008217E9" w:rsidRPr="009B32A4" w:rsidRDefault="008217E9" w:rsidP="008217E9">
      <w:pPr>
        <w:pStyle w:val="EndNoteBibliography"/>
        <w:spacing w:after="0"/>
        <w:rPr>
          <w:rFonts w:ascii="Times New Roman" w:hAnsi="Times New Roman" w:cs="Times New Roman"/>
          <w:sz w:val="20"/>
          <w:szCs w:val="20"/>
        </w:rPr>
      </w:pPr>
      <w:r w:rsidRPr="009B32A4">
        <w:rPr>
          <w:rFonts w:ascii="Times New Roman" w:hAnsi="Times New Roman" w:cs="Times New Roman"/>
          <w:sz w:val="20"/>
          <w:szCs w:val="20"/>
        </w:rPr>
        <w:t>3.</w:t>
      </w:r>
      <w:r w:rsidRPr="009B32A4">
        <w:rPr>
          <w:rFonts w:ascii="Times New Roman" w:hAnsi="Times New Roman" w:cs="Times New Roman"/>
          <w:sz w:val="20"/>
          <w:szCs w:val="20"/>
        </w:rPr>
        <w:tab/>
      </w:r>
      <w:r w:rsidR="00ED37F9" w:rsidRPr="009B32A4">
        <w:rPr>
          <w:rFonts w:ascii="Times New Roman" w:hAnsi="Times New Roman" w:cs="Times New Roman"/>
          <w:sz w:val="20"/>
          <w:szCs w:val="20"/>
        </w:rPr>
        <w:t xml:space="preserve">Victorian Department of Health and Human Services. Centre for Victorian Data Linkage. Melbourne, Australia. 2018 [updated Aug 2018]. </w:t>
      </w:r>
      <w:hyperlink r:id="rId12" w:history="1">
        <w:r w:rsidR="00ED37F9" w:rsidRPr="009B32A4">
          <w:rPr>
            <w:rStyle w:val="Hyperlink"/>
            <w:rFonts w:ascii="Times New Roman" w:hAnsi="Times New Roman" w:cs="Times New Roman"/>
            <w:sz w:val="20"/>
            <w:szCs w:val="20"/>
          </w:rPr>
          <w:t>https://www2.health.vic.gov.au/about/reporting-planning-data/the-centre-for-victorian-data-linkage/for-researchers/vdl-data-linkage-project</w:t>
        </w:r>
      </w:hyperlink>
      <w:r w:rsidR="00ED37F9" w:rsidRPr="009B32A4">
        <w:rPr>
          <w:rFonts w:ascii="Times New Roman" w:hAnsi="Times New Roman" w:cs="Times New Roman"/>
          <w:sz w:val="20"/>
          <w:szCs w:val="20"/>
        </w:rPr>
        <w:t xml:space="preserve"> (accessed 5 Feb 2021).</w:t>
      </w:r>
    </w:p>
    <w:p w14:paraId="6EFF98A2" w14:textId="1A6B9BAC" w:rsidR="008217E9" w:rsidRPr="009B32A4" w:rsidRDefault="008217E9" w:rsidP="00573EBD">
      <w:pPr>
        <w:pStyle w:val="EndNoteBibliography"/>
        <w:spacing w:after="0"/>
        <w:rPr>
          <w:rFonts w:ascii="Times New Roman" w:hAnsi="Times New Roman" w:cs="Times New Roman"/>
          <w:sz w:val="20"/>
          <w:szCs w:val="20"/>
        </w:rPr>
      </w:pPr>
      <w:r w:rsidRPr="009B32A4">
        <w:rPr>
          <w:rFonts w:ascii="Times New Roman" w:hAnsi="Times New Roman" w:cs="Times New Roman"/>
          <w:sz w:val="20"/>
          <w:szCs w:val="20"/>
        </w:rPr>
        <w:t>4.</w:t>
      </w:r>
      <w:r w:rsidRPr="009B32A4">
        <w:rPr>
          <w:rFonts w:ascii="Times New Roman" w:hAnsi="Times New Roman" w:cs="Times New Roman"/>
          <w:sz w:val="20"/>
          <w:szCs w:val="20"/>
        </w:rPr>
        <w:tab/>
      </w:r>
      <w:r w:rsidR="00ED37F9" w:rsidRPr="009B32A4">
        <w:rPr>
          <w:rFonts w:ascii="Times New Roman" w:hAnsi="Times New Roman" w:cs="Times New Roman"/>
          <w:sz w:val="20"/>
          <w:szCs w:val="20"/>
        </w:rPr>
        <w:t xml:space="preserve">Australian Bureau of Statistics. 3235.0 - Population by Age and Sex, Regions of Australia, 2016. Canberra, Australia. 2018 [updated 28 Aug 2018]. </w:t>
      </w:r>
      <w:hyperlink r:id="rId13" w:history="1">
        <w:r w:rsidR="00ED37F9" w:rsidRPr="009B32A4">
          <w:rPr>
            <w:rStyle w:val="Hyperlink"/>
            <w:rFonts w:ascii="Times New Roman" w:hAnsi="Times New Roman" w:cs="Times New Roman"/>
            <w:sz w:val="20"/>
            <w:szCs w:val="20"/>
          </w:rPr>
          <w:t>https://www.abs.gov.au/AUSSTATS/abs@.nsf/DetailsPage/3235.02016?OpenDocument</w:t>
        </w:r>
      </w:hyperlink>
      <w:r w:rsidR="00ED37F9" w:rsidRPr="009B32A4">
        <w:rPr>
          <w:rFonts w:ascii="Times New Roman" w:hAnsi="Times New Roman" w:cs="Times New Roman"/>
          <w:sz w:val="20"/>
          <w:szCs w:val="20"/>
        </w:rPr>
        <w:t xml:space="preserve"> (accessed 28 Oct 2020).</w:t>
      </w:r>
    </w:p>
    <w:bookmarkEnd w:id="0"/>
    <w:p w14:paraId="6B5BAB89" w14:textId="77777777" w:rsidR="00FD1C13" w:rsidRDefault="00FD1C13">
      <w:pPr>
        <w:rPr>
          <w:rFonts w:ascii="Times New Roman" w:hAnsi="Times New Roman" w:cs="Times New Roman"/>
          <w:b/>
          <w:bCs/>
          <w:sz w:val="20"/>
          <w:szCs w:val="20"/>
        </w:rPr>
        <w:sectPr w:rsidR="00FD1C13" w:rsidSect="0025391E">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09" w:footer="709" w:gutter="0"/>
          <w:cols w:space="708"/>
          <w:titlePg/>
          <w:docGrid w:linePitch="360"/>
        </w:sectPr>
      </w:pPr>
    </w:p>
    <w:p w14:paraId="6D12E0B3" w14:textId="71CBE6C6" w:rsidR="00FD1C13" w:rsidRPr="00FA5837" w:rsidRDefault="00FD1C13" w:rsidP="00FD1C13">
      <w:pPr>
        <w:pStyle w:val="Caption"/>
        <w:keepNext/>
        <w:spacing w:after="240"/>
        <w:jc w:val="both"/>
        <w:rPr>
          <w:rFonts w:cstheme="minorHAnsi"/>
          <w:b/>
          <w:bCs/>
          <w:i w:val="0"/>
          <w:iCs w:val="0"/>
          <w:color w:val="000000" w:themeColor="text1"/>
          <w:sz w:val="16"/>
          <w:szCs w:val="16"/>
        </w:rPr>
      </w:pPr>
      <w:bookmarkStart w:id="2" w:name="_Hlk52181206"/>
      <w:r w:rsidRPr="00FA5837">
        <w:rPr>
          <w:rFonts w:cstheme="minorHAnsi"/>
          <w:b/>
          <w:bCs/>
          <w:i w:val="0"/>
          <w:iCs w:val="0"/>
          <w:color w:val="000000" w:themeColor="text1"/>
          <w:sz w:val="16"/>
          <w:szCs w:val="16"/>
        </w:rPr>
        <w:lastRenderedPageBreak/>
        <w:t>Table. Hospital admissions among Victorian residents with acute rheumatic fever or rheumatic heart disease as principal diagnosis, Victorian Admitted Episode Datas</w:t>
      </w:r>
      <w:r w:rsidR="005F1049">
        <w:rPr>
          <w:rFonts w:cstheme="minorHAnsi"/>
          <w:b/>
          <w:bCs/>
          <w:i w:val="0"/>
          <w:iCs w:val="0"/>
          <w:color w:val="000000" w:themeColor="text1"/>
          <w:sz w:val="16"/>
          <w:szCs w:val="16"/>
        </w:rPr>
        <w:t>et, 1 July 2006 to 30 June 2018</w:t>
      </w:r>
    </w:p>
    <w:tbl>
      <w:tblPr>
        <w:tblStyle w:val="TableGrid"/>
        <w:tblW w:w="13608" w:type="dxa"/>
        <w:jc w:val="center"/>
        <w:tblLayout w:type="fixed"/>
        <w:tblLook w:val="04A0" w:firstRow="1" w:lastRow="0" w:firstColumn="1" w:lastColumn="0" w:noHBand="0" w:noVBand="1"/>
      </w:tblPr>
      <w:tblGrid>
        <w:gridCol w:w="2268"/>
        <w:gridCol w:w="850"/>
        <w:gridCol w:w="1417"/>
        <w:gridCol w:w="1418"/>
        <w:gridCol w:w="1134"/>
        <w:gridCol w:w="1417"/>
        <w:gridCol w:w="1419"/>
        <w:gridCol w:w="850"/>
        <w:gridCol w:w="1417"/>
        <w:gridCol w:w="1418"/>
      </w:tblGrid>
      <w:tr w:rsidR="009F6335" w:rsidRPr="004C79A9" w14:paraId="4CBBFAB8" w14:textId="77777777" w:rsidTr="009F6335">
        <w:trPr>
          <w:cantSplit/>
          <w:jc w:val="center"/>
        </w:trPr>
        <w:tc>
          <w:tcPr>
            <w:tcW w:w="2268" w:type="dxa"/>
          </w:tcPr>
          <w:p w14:paraId="7B650219" w14:textId="77777777" w:rsidR="009F6335" w:rsidRPr="004400DD" w:rsidRDefault="009F6335" w:rsidP="009F6335">
            <w:pPr>
              <w:spacing w:before="40" w:after="40"/>
              <w:rPr>
                <w:rFonts w:asciiTheme="majorHAnsi" w:hAnsiTheme="majorHAnsi" w:cstheme="majorHAnsi"/>
                <w:sz w:val="12"/>
                <w:szCs w:val="12"/>
              </w:rPr>
            </w:pPr>
          </w:p>
        </w:tc>
        <w:tc>
          <w:tcPr>
            <w:tcW w:w="7655" w:type="dxa"/>
            <w:gridSpan w:val="6"/>
          </w:tcPr>
          <w:p w14:paraId="5FA033A5" w14:textId="6515BD26" w:rsidR="009F6335" w:rsidRPr="004400DD" w:rsidRDefault="009F6335" w:rsidP="009F6335">
            <w:pPr>
              <w:spacing w:before="40" w:after="40"/>
              <w:jc w:val="center"/>
              <w:rPr>
                <w:rFonts w:asciiTheme="majorHAnsi" w:hAnsiTheme="majorHAnsi" w:cstheme="majorHAnsi"/>
                <w:b/>
                <w:bCs/>
                <w:sz w:val="12"/>
                <w:szCs w:val="12"/>
              </w:rPr>
            </w:pPr>
            <w:r>
              <w:rPr>
                <w:rFonts w:asciiTheme="majorHAnsi" w:hAnsiTheme="majorHAnsi" w:cstheme="majorHAnsi"/>
                <w:b/>
                <w:bCs/>
                <w:color w:val="000000" w:themeColor="text1"/>
                <w:sz w:val="12"/>
                <w:szCs w:val="12"/>
              </w:rPr>
              <w:t>Admissions</w:t>
            </w:r>
          </w:p>
        </w:tc>
        <w:tc>
          <w:tcPr>
            <w:tcW w:w="3685" w:type="dxa"/>
            <w:gridSpan w:val="3"/>
          </w:tcPr>
          <w:p w14:paraId="7403B176" w14:textId="6FE66C50" w:rsidR="009F6335" w:rsidRDefault="009F6335" w:rsidP="009F6335">
            <w:pPr>
              <w:spacing w:before="40" w:after="40"/>
              <w:jc w:val="center"/>
              <w:rPr>
                <w:rFonts w:asciiTheme="majorHAnsi" w:hAnsiTheme="majorHAnsi" w:cstheme="majorHAnsi"/>
                <w:b/>
                <w:bCs/>
                <w:sz w:val="12"/>
                <w:szCs w:val="12"/>
              </w:rPr>
            </w:pPr>
            <w:r>
              <w:rPr>
                <w:rFonts w:asciiTheme="majorHAnsi" w:hAnsiTheme="majorHAnsi" w:cstheme="majorHAnsi"/>
                <w:b/>
                <w:bCs/>
                <w:sz w:val="12"/>
                <w:szCs w:val="12"/>
              </w:rPr>
              <w:t>Deaths</w:t>
            </w:r>
          </w:p>
        </w:tc>
      </w:tr>
      <w:tr w:rsidR="009F6335" w:rsidRPr="004C79A9" w14:paraId="30EC8DFF" w14:textId="77777777" w:rsidTr="009F6335">
        <w:trPr>
          <w:cantSplit/>
          <w:jc w:val="center"/>
        </w:trPr>
        <w:tc>
          <w:tcPr>
            <w:tcW w:w="2268" w:type="dxa"/>
            <w:vMerge w:val="restart"/>
          </w:tcPr>
          <w:p w14:paraId="0843333C" w14:textId="77777777" w:rsidR="009F6335" w:rsidRPr="004400DD" w:rsidRDefault="009F6335" w:rsidP="009F6335">
            <w:pPr>
              <w:spacing w:before="40" w:after="40"/>
              <w:rPr>
                <w:rFonts w:asciiTheme="majorHAnsi" w:hAnsiTheme="majorHAnsi" w:cstheme="majorHAnsi"/>
                <w:sz w:val="12"/>
                <w:szCs w:val="12"/>
              </w:rPr>
            </w:pPr>
          </w:p>
        </w:tc>
        <w:tc>
          <w:tcPr>
            <w:tcW w:w="3685" w:type="dxa"/>
            <w:gridSpan w:val="3"/>
          </w:tcPr>
          <w:p w14:paraId="1511302F" w14:textId="2D3FCA63" w:rsidR="009F6335" w:rsidRPr="004400DD" w:rsidRDefault="009F6335" w:rsidP="009F6335">
            <w:pPr>
              <w:spacing w:before="40" w:after="40"/>
              <w:jc w:val="center"/>
              <w:rPr>
                <w:rFonts w:asciiTheme="majorHAnsi" w:hAnsiTheme="majorHAnsi" w:cstheme="majorHAnsi"/>
                <w:b/>
                <w:bCs/>
                <w:sz w:val="12"/>
                <w:szCs w:val="12"/>
              </w:rPr>
            </w:pPr>
            <w:r w:rsidRPr="004400DD">
              <w:rPr>
                <w:rFonts w:asciiTheme="majorHAnsi" w:hAnsiTheme="majorHAnsi" w:cstheme="majorHAnsi"/>
                <w:b/>
                <w:bCs/>
                <w:color w:val="000000" w:themeColor="text1"/>
                <w:sz w:val="12"/>
                <w:szCs w:val="12"/>
              </w:rPr>
              <w:t xml:space="preserve">Acute rheumatic </w:t>
            </w:r>
            <w:r>
              <w:rPr>
                <w:rFonts w:asciiTheme="majorHAnsi" w:hAnsiTheme="majorHAnsi" w:cstheme="majorHAnsi"/>
                <w:b/>
                <w:bCs/>
                <w:color w:val="000000" w:themeColor="text1"/>
                <w:sz w:val="12"/>
                <w:szCs w:val="12"/>
              </w:rPr>
              <w:t xml:space="preserve">fever </w:t>
            </w:r>
          </w:p>
        </w:tc>
        <w:tc>
          <w:tcPr>
            <w:tcW w:w="3970" w:type="dxa"/>
            <w:gridSpan w:val="3"/>
          </w:tcPr>
          <w:p w14:paraId="4F723511" w14:textId="0343F496" w:rsidR="009F6335" w:rsidRPr="004400DD" w:rsidRDefault="009F6335" w:rsidP="009F6335">
            <w:pPr>
              <w:spacing w:before="40" w:after="40"/>
              <w:jc w:val="center"/>
              <w:rPr>
                <w:rFonts w:asciiTheme="majorHAnsi" w:hAnsiTheme="majorHAnsi" w:cstheme="majorHAnsi"/>
                <w:b/>
                <w:bCs/>
                <w:sz w:val="12"/>
                <w:szCs w:val="12"/>
              </w:rPr>
            </w:pPr>
            <w:r w:rsidRPr="004400DD">
              <w:rPr>
                <w:rFonts w:asciiTheme="majorHAnsi" w:hAnsiTheme="majorHAnsi" w:cstheme="majorHAnsi"/>
                <w:b/>
                <w:bCs/>
                <w:sz w:val="12"/>
                <w:szCs w:val="12"/>
              </w:rPr>
              <w:t>Rheumatic heart disease</w:t>
            </w:r>
            <w:r>
              <w:rPr>
                <w:rFonts w:asciiTheme="majorHAnsi" w:hAnsiTheme="majorHAnsi" w:cstheme="majorHAnsi"/>
                <w:b/>
                <w:bCs/>
                <w:sz w:val="12"/>
                <w:szCs w:val="12"/>
              </w:rPr>
              <w:t xml:space="preserve"> </w:t>
            </w:r>
          </w:p>
        </w:tc>
        <w:tc>
          <w:tcPr>
            <w:tcW w:w="3685" w:type="dxa"/>
            <w:gridSpan w:val="3"/>
          </w:tcPr>
          <w:p w14:paraId="78FA2F11" w14:textId="76D84C42" w:rsidR="009F6335" w:rsidRPr="00950EFA" w:rsidRDefault="009F6335" w:rsidP="009F6335">
            <w:pPr>
              <w:spacing w:before="40" w:after="40"/>
              <w:jc w:val="center"/>
              <w:rPr>
                <w:rFonts w:asciiTheme="majorHAnsi" w:hAnsiTheme="majorHAnsi" w:cstheme="majorHAnsi"/>
                <w:b/>
                <w:bCs/>
                <w:sz w:val="12"/>
                <w:szCs w:val="12"/>
                <w:vertAlign w:val="superscript"/>
              </w:rPr>
            </w:pPr>
            <w:r>
              <w:rPr>
                <w:rFonts w:asciiTheme="majorHAnsi" w:hAnsiTheme="majorHAnsi" w:cstheme="majorHAnsi"/>
                <w:b/>
                <w:bCs/>
                <w:sz w:val="12"/>
                <w:szCs w:val="12"/>
              </w:rPr>
              <w:t>Rheumatic heart disease</w:t>
            </w:r>
            <w:r>
              <w:rPr>
                <w:rFonts w:asciiTheme="majorHAnsi" w:hAnsiTheme="majorHAnsi" w:cstheme="majorHAnsi"/>
                <w:b/>
                <w:bCs/>
                <w:sz w:val="12"/>
                <w:szCs w:val="12"/>
                <w:vertAlign w:val="superscript"/>
              </w:rPr>
              <w:t>2</w:t>
            </w:r>
          </w:p>
        </w:tc>
      </w:tr>
      <w:tr w:rsidR="00573EBD" w:rsidRPr="004C79A9" w14:paraId="5409F4DD" w14:textId="77777777" w:rsidTr="009F6335">
        <w:trPr>
          <w:cantSplit/>
          <w:jc w:val="center"/>
        </w:trPr>
        <w:tc>
          <w:tcPr>
            <w:tcW w:w="2268" w:type="dxa"/>
            <w:vMerge/>
          </w:tcPr>
          <w:p w14:paraId="7E103BFC" w14:textId="77777777" w:rsidR="00573EBD" w:rsidRPr="004400DD" w:rsidRDefault="00573EBD" w:rsidP="00573EBD">
            <w:pPr>
              <w:spacing w:before="40" w:after="40"/>
              <w:rPr>
                <w:rFonts w:asciiTheme="majorHAnsi" w:hAnsiTheme="majorHAnsi" w:cstheme="majorHAnsi"/>
                <w:sz w:val="12"/>
                <w:szCs w:val="12"/>
              </w:rPr>
            </w:pPr>
          </w:p>
        </w:tc>
        <w:tc>
          <w:tcPr>
            <w:tcW w:w="850" w:type="dxa"/>
          </w:tcPr>
          <w:p w14:paraId="4FDA3645" w14:textId="186A18EF" w:rsidR="00573EBD" w:rsidRPr="004400DD" w:rsidRDefault="00573EBD" w:rsidP="00573EBD">
            <w:pPr>
              <w:spacing w:before="40" w:after="40"/>
              <w:jc w:val="center"/>
              <w:rPr>
                <w:rFonts w:asciiTheme="majorHAnsi" w:hAnsiTheme="majorHAnsi" w:cstheme="majorHAnsi"/>
                <w:b/>
                <w:bCs/>
                <w:sz w:val="12"/>
                <w:szCs w:val="12"/>
              </w:rPr>
            </w:pPr>
            <w:r>
              <w:rPr>
                <w:rFonts w:asciiTheme="majorHAnsi" w:hAnsiTheme="majorHAnsi" w:cstheme="majorHAnsi"/>
                <w:b/>
                <w:bCs/>
                <w:sz w:val="12"/>
                <w:szCs w:val="12"/>
              </w:rPr>
              <w:t>Number</w:t>
            </w:r>
            <w:r w:rsidRPr="00950EFA">
              <w:rPr>
                <w:rFonts w:asciiTheme="majorHAnsi" w:hAnsiTheme="majorHAnsi" w:cstheme="majorHAnsi"/>
                <w:b/>
                <w:bCs/>
                <w:sz w:val="12"/>
                <w:szCs w:val="12"/>
                <w:vertAlign w:val="superscript"/>
              </w:rPr>
              <w:t>3</w:t>
            </w:r>
          </w:p>
        </w:tc>
        <w:tc>
          <w:tcPr>
            <w:tcW w:w="1417" w:type="dxa"/>
          </w:tcPr>
          <w:p w14:paraId="0160DB7F" w14:textId="6EB6872D" w:rsidR="00573EBD" w:rsidRPr="004400DD" w:rsidRDefault="00573EBD" w:rsidP="00573EBD">
            <w:pPr>
              <w:spacing w:before="40" w:after="40"/>
              <w:jc w:val="center"/>
              <w:rPr>
                <w:rFonts w:asciiTheme="majorHAnsi" w:hAnsiTheme="majorHAnsi" w:cstheme="majorHAnsi"/>
                <w:b/>
                <w:bCs/>
                <w:sz w:val="12"/>
                <w:szCs w:val="12"/>
                <w:vertAlign w:val="superscript"/>
              </w:rPr>
            </w:pPr>
            <w:r w:rsidRPr="004400DD">
              <w:rPr>
                <w:rFonts w:asciiTheme="majorHAnsi" w:hAnsiTheme="majorHAnsi" w:cstheme="majorHAnsi"/>
                <w:b/>
                <w:bCs/>
                <w:sz w:val="12"/>
                <w:szCs w:val="12"/>
              </w:rPr>
              <w:t>Mean annual admissions per 100,000</w:t>
            </w:r>
            <w:r>
              <w:rPr>
                <w:rFonts w:asciiTheme="majorHAnsi" w:hAnsiTheme="majorHAnsi" w:cstheme="majorHAnsi"/>
                <w:b/>
                <w:bCs/>
                <w:sz w:val="12"/>
                <w:szCs w:val="12"/>
              </w:rPr>
              <w:t xml:space="preserve"> (95% confidence interval) </w:t>
            </w:r>
            <w:r w:rsidRPr="004400DD">
              <w:rPr>
                <w:rFonts w:asciiTheme="majorHAnsi" w:hAnsiTheme="majorHAnsi" w:cstheme="majorHAnsi"/>
                <w:b/>
                <w:bCs/>
                <w:sz w:val="12"/>
                <w:szCs w:val="12"/>
                <w:vertAlign w:val="superscript"/>
              </w:rPr>
              <w:t>1</w:t>
            </w:r>
          </w:p>
        </w:tc>
        <w:tc>
          <w:tcPr>
            <w:tcW w:w="1418" w:type="dxa"/>
          </w:tcPr>
          <w:p w14:paraId="7BD15639" w14:textId="12AD8656" w:rsidR="00573EBD" w:rsidRPr="004400DD" w:rsidRDefault="00573EBD" w:rsidP="00573EBD">
            <w:pPr>
              <w:spacing w:before="40" w:after="40"/>
              <w:jc w:val="center"/>
              <w:rPr>
                <w:rFonts w:asciiTheme="majorHAnsi" w:hAnsiTheme="majorHAnsi" w:cstheme="majorHAnsi"/>
                <w:b/>
                <w:bCs/>
                <w:sz w:val="12"/>
                <w:szCs w:val="12"/>
              </w:rPr>
            </w:pPr>
            <w:r>
              <w:rPr>
                <w:rFonts w:asciiTheme="majorHAnsi" w:hAnsiTheme="majorHAnsi" w:cstheme="majorHAnsi"/>
                <w:b/>
                <w:bCs/>
                <w:sz w:val="12"/>
                <w:szCs w:val="12"/>
              </w:rPr>
              <w:t>I</w:t>
            </w:r>
            <w:r w:rsidRPr="002A453D">
              <w:rPr>
                <w:rFonts w:asciiTheme="majorHAnsi" w:hAnsiTheme="majorHAnsi" w:cstheme="majorHAnsi"/>
                <w:b/>
                <w:bCs/>
                <w:sz w:val="12"/>
                <w:szCs w:val="12"/>
              </w:rPr>
              <w:t>ncidence rate ratio</w:t>
            </w:r>
            <w:r>
              <w:rPr>
                <w:rFonts w:asciiTheme="majorHAnsi" w:hAnsiTheme="majorHAnsi" w:cstheme="majorHAnsi"/>
                <w:b/>
                <w:bCs/>
                <w:sz w:val="12"/>
                <w:szCs w:val="12"/>
              </w:rPr>
              <w:t xml:space="preserve"> (</w:t>
            </w:r>
            <w:r w:rsidRPr="004400DD">
              <w:rPr>
                <w:rFonts w:asciiTheme="majorHAnsi" w:hAnsiTheme="majorHAnsi" w:cstheme="majorHAnsi"/>
                <w:b/>
                <w:bCs/>
                <w:sz w:val="12"/>
                <w:szCs w:val="12"/>
              </w:rPr>
              <w:t>95%</w:t>
            </w:r>
            <w:r>
              <w:rPr>
                <w:rFonts w:asciiTheme="majorHAnsi" w:hAnsiTheme="majorHAnsi" w:cstheme="majorHAnsi"/>
                <w:b/>
                <w:bCs/>
                <w:sz w:val="12"/>
                <w:szCs w:val="12"/>
              </w:rPr>
              <w:t xml:space="preserve"> confidence interval)</w:t>
            </w:r>
          </w:p>
        </w:tc>
        <w:tc>
          <w:tcPr>
            <w:tcW w:w="1134" w:type="dxa"/>
          </w:tcPr>
          <w:p w14:paraId="28E5C6AA" w14:textId="04A93F6D" w:rsidR="00573EBD" w:rsidRPr="004400DD" w:rsidRDefault="00573EBD" w:rsidP="00573EBD">
            <w:pPr>
              <w:spacing w:before="40" w:after="40"/>
              <w:jc w:val="center"/>
              <w:rPr>
                <w:rFonts w:asciiTheme="majorHAnsi" w:hAnsiTheme="majorHAnsi" w:cstheme="majorHAnsi"/>
                <w:b/>
                <w:bCs/>
                <w:sz w:val="12"/>
                <w:szCs w:val="12"/>
              </w:rPr>
            </w:pPr>
            <w:r>
              <w:rPr>
                <w:rFonts w:asciiTheme="majorHAnsi" w:hAnsiTheme="majorHAnsi" w:cstheme="majorHAnsi"/>
                <w:b/>
                <w:bCs/>
                <w:sz w:val="12"/>
                <w:szCs w:val="12"/>
              </w:rPr>
              <w:t>Number</w:t>
            </w:r>
          </w:p>
        </w:tc>
        <w:tc>
          <w:tcPr>
            <w:tcW w:w="1417" w:type="dxa"/>
          </w:tcPr>
          <w:p w14:paraId="120333D0" w14:textId="3ABC5C0C" w:rsidR="00573EBD" w:rsidRPr="004400DD" w:rsidRDefault="00573EBD" w:rsidP="00573EBD">
            <w:pPr>
              <w:spacing w:before="40" w:after="40"/>
              <w:jc w:val="center"/>
              <w:rPr>
                <w:rFonts w:asciiTheme="majorHAnsi" w:hAnsiTheme="majorHAnsi" w:cstheme="majorHAnsi"/>
                <w:b/>
                <w:bCs/>
                <w:sz w:val="12"/>
                <w:szCs w:val="12"/>
              </w:rPr>
            </w:pPr>
            <w:r w:rsidRPr="004400DD">
              <w:rPr>
                <w:rFonts w:asciiTheme="majorHAnsi" w:hAnsiTheme="majorHAnsi" w:cstheme="majorHAnsi"/>
                <w:b/>
                <w:bCs/>
                <w:sz w:val="12"/>
                <w:szCs w:val="12"/>
              </w:rPr>
              <w:t>Mean annual admissions per 100,000</w:t>
            </w:r>
            <w:r>
              <w:rPr>
                <w:rFonts w:asciiTheme="majorHAnsi" w:hAnsiTheme="majorHAnsi" w:cstheme="majorHAnsi"/>
                <w:b/>
                <w:bCs/>
                <w:sz w:val="12"/>
                <w:szCs w:val="12"/>
              </w:rPr>
              <w:t xml:space="preserve"> (95% confidence interval) </w:t>
            </w:r>
            <w:r w:rsidRPr="004400DD">
              <w:rPr>
                <w:rFonts w:asciiTheme="majorHAnsi" w:hAnsiTheme="majorHAnsi" w:cstheme="majorHAnsi"/>
                <w:b/>
                <w:bCs/>
                <w:sz w:val="12"/>
                <w:szCs w:val="12"/>
                <w:vertAlign w:val="superscript"/>
              </w:rPr>
              <w:t>1</w:t>
            </w:r>
          </w:p>
        </w:tc>
        <w:tc>
          <w:tcPr>
            <w:tcW w:w="1419" w:type="dxa"/>
          </w:tcPr>
          <w:p w14:paraId="1FE7740D" w14:textId="6A8B0659" w:rsidR="00573EBD" w:rsidRPr="004400DD" w:rsidRDefault="00573EBD" w:rsidP="00573EBD">
            <w:pPr>
              <w:spacing w:before="40" w:after="40"/>
              <w:jc w:val="center"/>
              <w:rPr>
                <w:rFonts w:asciiTheme="majorHAnsi" w:hAnsiTheme="majorHAnsi" w:cstheme="majorHAnsi"/>
                <w:b/>
                <w:bCs/>
                <w:sz w:val="12"/>
                <w:szCs w:val="12"/>
              </w:rPr>
            </w:pPr>
            <w:r>
              <w:rPr>
                <w:rFonts w:asciiTheme="majorHAnsi" w:hAnsiTheme="majorHAnsi" w:cstheme="majorHAnsi"/>
                <w:b/>
                <w:bCs/>
                <w:sz w:val="12"/>
                <w:szCs w:val="12"/>
              </w:rPr>
              <w:t>I</w:t>
            </w:r>
            <w:r w:rsidRPr="002A453D">
              <w:rPr>
                <w:rFonts w:asciiTheme="majorHAnsi" w:hAnsiTheme="majorHAnsi" w:cstheme="majorHAnsi"/>
                <w:b/>
                <w:bCs/>
                <w:sz w:val="12"/>
                <w:szCs w:val="12"/>
              </w:rPr>
              <w:t>ncidence rate ratio</w:t>
            </w:r>
            <w:r>
              <w:rPr>
                <w:rFonts w:asciiTheme="majorHAnsi" w:hAnsiTheme="majorHAnsi" w:cstheme="majorHAnsi"/>
                <w:b/>
                <w:bCs/>
                <w:sz w:val="12"/>
                <w:szCs w:val="12"/>
              </w:rPr>
              <w:t xml:space="preserve"> (</w:t>
            </w:r>
            <w:r w:rsidRPr="004400DD">
              <w:rPr>
                <w:rFonts w:asciiTheme="majorHAnsi" w:hAnsiTheme="majorHAnsi" w:cstheme="majorHAnsi"/>
                <w:b/>
                <w:bCs/>
                <w:sz w:val="12"/>
                <w:szCs w:val="12"/>
              </w:rPr>
              <w:t>95%</w:t>
            </w:r>
            <w:r>
              <w:rPr>
                <w:rFonts w:asciiTheme="majorHAnsi" w:hAnsiTheme="majorHAnsi" w:cstheme="majorHAnsi"/>
                <w:b/>
                <w:bCs/>
                <w:sz w:val="12"/>
                <w:szCs w:val="12"/>
              </w:rPr>
              <w:t xml:space="preserve"> confidence interval)</w:t>
            </w:r>
          </w:p>
        </w:tc>
        <w:tc>
          <w:tcPr>
            <w:tcW w:w="850" w:type="dxa"/>
          </w:tcPr>
          <w:p w14:paraId="0D5BE720" w14:textId="603BD9FF" w:rsidR="00573EBD" w:rsidRPr="009F6335" w:rsidDel="00186D7F" w:rsidRDefault="00573EBD" w:rsidP="00573EBD">
            <w:pPr>
              <w:spacing w:before="40" w:after="40"/>
              <w:jc w:val="center"/>
              <w:rPr>
                <w:rFonts w:asciiTheme="majorHAnsi" w:hAnsiTheme="majorHAnsi" w:cstheme="majorHAnsi"/>
                <w:bCs/>
                <w:sz w:val="12"/>
                <w:szCs w:val="12"/>
              </w:rPr>
            </w:pPr>
            <w:r w:rsidRPr="009F6335">
              <w:rPr>
                <w:rFonts w:asciiTheme="majorHAnsi" w:hAnsiTheme="majorHAnsi" w:cstheme="majorHAnsi"/>
                <w:bCs/>
                <w:sz w:val="12"/>
                <w:szCs w:val="12"/>
              </w:rPr>
              <w:t>Number</w:t>
            </w:r>
          </w:p>
        </w:tc>
        <w:tc>
          <w:tcPr>
            <w:tcW w:w="1417" w:type="dxa"/>
          </w:tcPr>
          <w:p w14:paraId="19BE6648" w14:textId="79E65A18" w:rsidR="00573EBD" w:rsidRPr="004400DD" w:rsidDel="00186D7F" w:rsidRDefault="00573EBD" w:rsidP="00573EBD">
            <w:pPr>
              <w:spacing w:before="40" w:after="40"/>
              <w:jc w:val="center"/>
              <w:rPr>
                <w:rFonts w:asciiTheme="majorHAnsi" w:hAnsiTheme="majorHAnsi" w:cstheme="majorHAnsi"/>
                <w:b/>
                <w:bCs/>
                <w:sz w:val="12"/>
                <w:szCs w:val="12"/>
              </w:rPr>
            </w:pPr>
            <w:r w:rsidRPr="004400DD">
              <w:rPr>
                <w:rFonts w:asciiTheme="majorHAnsi" w:hAnsiTheme="majorHAnsi" w:cstheme="majorHAnsi"/>
                <w:b/>
                <w:bCs/>
                <w:sz w:val="12"/>
                <w:szCs w:val="12"/>
              </w:rPr>
              <w:t>Mean annual admissions per 100,000</w:t>
            </w:r>
            <w:r>
              <w:rPr>
                <w:rFonts w:asciiTheme="majorHAnsi" w:hAnsiTheme="majorHAnsi" w:cstheme="majorHAnsi"/>
                <w:b/>
                <w:bCs/>
                <w:sz w:val="12"/>
                <w:szCs w:val="12"/>
              </w:rPr>
              <w:t xml:space="preserve"> (95% confidence interval) </w:t>
            </w:r>
            <w:r w:rsidRPr="004400DD">
              <w:rPr>
                <w:rFonts w:asciiTheme="majorHAnsi" w:hAnsiTheme="majorHAnsi" w:cstheme="majorHAnsi"/>
                <w:b/>
                <w:bCs/>
                <w:sz w:val="12"/>
                <w:szCs w:val="12"/>
                <w:vertAlign w:val="superscript"/>
              </w:rPr>
              <w:t>1</w:t>
            </w:r>
          </w:p>
        </w:tc>
        <w:tc>
          <w:tcPr>
            <w:tcW w:w="1418" w:type="dxa"/>
          </w:tcPr>
          <w:p w14:paraId="38669FB7" w14:textId="525B39F6" w:rsidR="00573EBD" w:rsidRPr="004400DD" w:rsidDel="00186D7F" w:rsidRDefault="00573EBD" w:rsidP="00573EBD">
            <w:pPr>
              <w:spacing w:before="40" w:after="40"/>
              <w:jc w:val="center"/>
              <w:rPr>
                <w:rFonts w:asciiTheme="majorHAnsi" w:hAnsiTheme="majorHAnsi" w:cstheme="majorHAnsi"/>
                <w:b/>
                <w:bCs/>
                <w:sz w:val="12"/>
                <w:szCs w:val="12"/>
              </w:rPr>
            </w:pPr>
            <w:r>
              <w:rPr>
                <w:rFonts w:asciiTheme="majorHAnsi" w:hAnsiTheme="majorHAnsi" w:cstheme="majorHAnsi"/>
                <w:b/>
                <w:bCs/>
                <w:sz w:val="12"/>
                <w:szCs w:val="12"/>
              </w:rPr>
              <w:t>I</w:t>
            </w:r>
            <w:r w:rsidRPr="002A453D">
              <w:rPr>
                <w:rFonts w:asciiTheme="majorHAnsi" w:hAnsiTheme="majorHAnsi" w:cstheme="majorHAnsi"/>
                <w:b/>
                <w:bCs/>
                <w:sz w:val="12"/>
                <w:szCs w:val="12"/>
              </w:rPr>
              <w:t>ncidence rate ratio</w:t>
            </w:r>
            <w:r>
              <w:rPr>
                <w:rFonts w:asciiTheme="majorHAnsi" w:hAnsiTheme="majorHAnsi" w:cstheme="majorHAnsi"/>
                <w:b/>
                <w:bCs/>
                <w:sz w:val="12"/>
                <w:szCs w:val="12"/>
              </w:rPr>
              <w:t xml:space="preserve"> (</w:t>
            </w:r>
            <w:r w:rsidRPr="004400DD">
              <w:rPr>
                <w:rFonts w:asciiTheme="majorHAnsi" w:hAnsiTheme="majorHAnsi" w:cstheme="majorHAnsi"/>
                <w:b/>
                <w:bCs/>
                <w:sz w:val="12"/>
                <w:szCs w:val="12"/>
              </w:rPr>
              <w:t>95%</w:t>
            </w:r>
            <w:r>
              <w:rPr>
                <w:rFonts w:asciiTheme="majorHAnsi" w:hAnsiTheme="majorHAnsi" w:cstheme="majorHAnsi"/>
                <w:b/>
                <w:bCs/>
                <w:sz w:val="12"/>
                <w:szCs w:val="12"/>
              </w:rPr>
              <w:t xml:space="preserve"> confidence interval)</w:t>
            </w:r>
          </w:p>
        </w:tc>
      </w:tr>
      <w:tr w:rsidR="009F6335" w:rsidRPr="009F6335" w14:paraId="6439F527" w14:textId="77777777" w:rsidTr="009F6335">
        <w:trPr>
          <w:cantSplit/>
          <w:jc w:val="center"/>
        </w:trPr>
        <w:tc>
          <w:tcPr>
            <w:tcW w:w="2268" w:type="dxa"/>
          </w:tcPr>
          <w:p w14:paraId="0FF16C37" w14:textId="237EA8AA" w:rsidR="002A453D" w:rsidRPr="00DD0452" w:rsidRDefault="002A453D" w:rsidP="009F6335">
            <w:pPr>
              <w:spacing w:before="40" w:after="40"/>
              <w:jc w:val="both"/>
              <w:rPr>
                <w:rFonts w:asciiTheme="majorHAnsi" w:hAnsiTheme="majorHAnsi" w:cstheme="majorHAnsi"/>
                <w:b/>
                <w:bCs/>
                <w:sz w:val="12"/>
                <w:szCs w:val="12"/>
              </w:rPr>
            </w:pPr>
            <w:r w:rsidRPr="00DD0452">
              <w:rPr>
                <w:rFonts w:asciiTheme="majorHAnsi" w:hAnsiTheme="majorHAnsi" w:cstheme="majorHAnsi"/>
                <w:b/>
                <w:bCs/>
                <w:color w:val="000000" w:themeColor="text1"/>
                <w:sz w:val="12"/>
                <w:szCs w:val="12"/>
              </w:rPr>
              <w:t>Total</w:t>
            </w:r>
          </w:p>
        </w:tc>
        <w:tc>
          <w:tcPr>
            <w:tcW w:w="850" w:type="dxa"/>
          </w:tcPr>
          <w:p w14:paraId="3BD12298" w14:textId="27DAF983"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146</w:t>
            </w:r>
          </w:p>
        </w:tc>
        <w:tc>
          <w:tcPr>
            <w:tcW w:w="1417" w:type="dxa"/>
          </w:tcPr>
          <w:p w14:paraId="6128E5ED" w14:textId="52C7C511"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0.21 (0.18–0.25)</w:t>
            </w:r>
          </w:p>
        </w:tc>
        <w:tc>
          <w:tcPr>
            <w:tcW w:w="1418" w:type="dxa"/>
          </w:tcPr>
          <w:p w14:paraId="01FC197D" w14:textId="0D067492"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134" w:type="dxa"/>
          </w:tcPr>
          <w:p w14:paraId="3F6A81CA" w14:textId="1079AA2D"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6758</w:t>
            </w:r>
          </w:p>
        </w:tc>
        <w:tc>
          <w:tcPr>
            <w:tcW w:w="1417" w:type="dxa"/>
          </w:tcPr>
          <w:p w14:paraId="7401F0C2" w14:textId="52E6E257"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9.89 (9.64–</w:t>
            </w:r>
            <w:r w:rsidR="009F6335" w:rsidRPr="009F6335">
              <w:rPr>
                <w:rFonts w:asciiTheme="majorHAnsi" w:hAnsiTheme="majorHAnsi" w:cstheme="majorHAnsi"/>
                <w:sz w:val="12"/>
                <w:szCs w:val="12"/>
              </w:rPr>
              <w:t>10.1</w:t>
            </w:r>
            <w:r w:rsidRPr="009F6335">
              <w:rPr>
                <w:rFonts w:asciiTheme="majorHAnsi" w:hAnsiTheme="majorHAnsi" w:cstheme="majorHAnsi"/>
                <w:sz w:val="12"/>
                <w:szCs w:val="12"/>
              </w:rPr>
              <w:t>)</w:t>
            </w:r>
          </w:p>
        </w:tc>
        <w:tc>
          <w:tcPr>
            <w:tcW w:w="1419" w:type="dxa"/>
          </w:tcPr>
          <w:p w14:paraId="497DD9A7" w14:textId="63E51031"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850" w:type="dxa"/>
          </w:tcPr>
          <w:p w14:paraId="7C13BE1F" w14:textId="19202D40" w:rsidR="002A453D" w:rsidRPr="009F6335" w:rsidRDefault="002A453D" w:rsidP="009F6335">
            <w:pPr>
              <w:spacing w:before="40" w:after="40"/>
              <w:ind w:right="-105"/>
              <w:jc w:val="center"/>
              <w:rPr>
                <w:rFonts w:asciiTheme="majorHAnsi" w:hAnsiTheme="majorHAnsi" w:cstheme="majorHAnsi"/>
                <w:sz w:val="12"/>
                <w:szCs w:val="12"/>
              </w:rPr>
            </w:pPr>
            <w:r w:rsidRPr="009F6335">
              <w:rPr>
                <w:rFonts w:asciiTheme="majorHAnsi" w:hAnsiTheme="majorHAnsi" w:cstheme="majorHAnsi"/>
                <w:sz w:val="12"/>
                <w:szCs w:val="12"/>
              </w:rPr>
              <w:t>1043</w:t>
            </w:r>
          </w:p>
        </w:tc>
        <w:tc>
          <w:tcPr>
            <w:tcW w:w="1417" w:type="dxa"/>
          </w:tcPr>
          <w:p w14:paraId="1C719F07" w14:textId="70FC343F"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1.53 (1.43–1.62)</w:t>
            </w:r>
          </w:p>
        </w:tc>
        <w:tc>
          <w:tcPr>
            <w:tcW w:w="1418" w:type="dxa"/>
          </w:tcPr>
          <w:p w14:paraId="55CE3E54" w14:textId="6C4843CD"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r>
      <w:tr w:rsidR="009F6335" w:rsidRPr="009F6335" w14:paraId="0F6CF53F" w14:textId="77777777" w:rsidTr="009F6335">
        <w:trPr>
          <w:cantSplit/>
          <w:jc w:val="center"/>
        </w:trPr>
        <w:tc>
          <w:tcPr>
            <w:tcW w:w="2268" w:type="dxa"/>
          </w:tcPr>
          <w:p w14:paraId="74D6A8AA" w14:textId="74D6AA85" w:rsidR="002A453D" w:rsidRPr="00DD0452" w:rsidRDefault="002A453D" w:rsidP="009F6335">
            <w:pPr>
              <w:spacing w:before="40" w:after="40"/>
              <w:rPr>
                <w:rFonts w:asciiTheme="majorHAnsi" w:hAnsiTheme="majorHAnsi" w:cstheme="majorHAnsi"/>
                <w:b/>
                <w:sz w:val="12"/>
                <w:szCs w:val="12"/>
              </w:rPr>
            </w:pPr>
            <w:r w:rsidRPr="00DD0452">
              <w:rPr>
                <w:rFonts w:asciiTheme="majorHAnsi" w:hAnsiTheme="majorHAnsi" w:cstheme="majorHAnsi"/>
                <w:b/>
                <w:bCs/>
                <w:sz w:val="12"/>
                <w:szCs w:val="12"/>
              </w:rPr>
              <w:t>Age group (years)</w:t>
            </w:r>
            <w:r w:rsidRPr="00DD0452">
              <w:rPr>
                <w:rFonts w:cstheme="minorHAnsi"/>
                <w:b/>
                <w:sz w:val="16"/>
                <w:szCs w:val="16"/>
                <w:vertAlign w:val="superscript"/>
              </w:rPr>
              <w:t>5</w:t>
            </w:r>
          </w:p>
        </w:tc>
        <w:tc>
          <w:tcPr>
            <w:tcW w:w="850" w:type="dxa"/>
          </w:tcPr>
          <w:p w14:paraId="6A11681C" w14:textId="77777777" w:rsidR="002A453D" w:rsidRPr="009F6335" w:rsidRDefault="002A453D" w:rsidP="009F6335">
            <w:pPr>
              <w:spacing w:before="40" w:after="40"/>
              <w:jc w:val="center"/>
              <w:rPr>
                <w:rFonts w:asciiTheme="majorHAnsi" w:hAnsiTheme="majorHAnsi" w:cstheme="majorHAnsi"/>
                <w:color w:val="000000" w:themeColor="text1"/>
                <w:sz w:val="12"/>
                <w:szCs w:val="12"/>
              </w:rPr>
            </w:pPr>
          </w:p>
        </w:tc>
        <w:tc>
          <w:tcPr>
            <w:tcW w:w="1417" w:type="dxa"/>
          </w:tcPr>
          <w:p w14:paraId="38D3D8CF" w14:textId="77777777" w:rsidR="002A453D" w:rsidRPr="009F6335" w:rsidRDefault="002A453D" w:rsidP="009F6335">
            <w:pPr>
              <w:spacing w:before="40" w:after="40"/>
              <w:jc w:val="center"/>
              <w:rPr>
                <w:rFonts w:asciiTheme="majorHAnsi" w:hAnsiTheme="majorHAnsi" w:cstheme="majorHAnsi"/>
                <w:sz w:val="12"/>
                <w:szCs w:val="12"/>
              </w:rPr>
            </w:pPr>
          </w:p>
        </w:tc>
        <w:tc>
          <w:tcPr>
            <w:tcW w:w="1418" w:type="dxa"/>
          </w:tcPr>
          <w:p w14:paraId="3231407C" w14:textId="77777777" w:rsidR="002A453D" w:rsidRPr="009F6335" w:rsidRDefault="002A453D" w:rsidP="009F6335">
            <w:pPr>
              <w:spacing w:before="40" w:after="40"/>
              <w:jc w:val="center"/>
              <w:rPr>
                <w:rFonts w:asciiTheme="majorHAnsi" w:hAnsiTheme="majorHAnsi" w:cstheme="majorHAnsi"/>
                <w:sz w:val="12"/>
                <w:szCs w:val="12"/>
              </w:rPr>
            </w:pPr>
          </w:p>
        </w:tc>
        <w:tc>
          <w:tcPr>
            <w:tcW w:w="1134" w:type="dxa"/>
          </w:tcPr>
          <w:p w14:paraId="2683B33C" w14:textId="77777777" w:rsidR="002A453D" w:rsidRPr="009F6335" w:rsidRDefault="002A453D" w:rsidP="009F6335">
            <w:pPr>
              <w:spacing w:before="40" w:after="40"/>
              <w:jc w:val="center"/>
              <w:rPr>
                <w:rFonts w:asciiTheme="majorHAnsi" w:hAnsiTheme="majorHAnsi" w:cstheme="majorHAnsi"/>
                <w:sz w:val="12"/>
                <w:szCs w:val="12"/>
              </w:rPr>
            </w:pPr>
          </w:p>
        </w:tc>
        <w:tc>
          <w:tcPr>
            <w:tcW w:w="1417" w:type="dxa"/>
          </w:tcPr>
          <w:p w14:paraId="257FC4A3" w14:textId="77777777" w:rsidR="002A453D" w:rsidRPr="009F6335" w:rsidRDefault="002A453D" w:rsidP="009F6335">
            <w:pPr>
              <w:spacing w:before="40" w:after="40"/>
              <w:ind w:right="-106"/>
              <w:jc w:val="center"/>
              <w:rPr>
                <w:rFonts w:asciiTheme="majorHAnsi" w:hAnsiTheme="majorHAnsi" w:cstheme="majorHAnsi"/>
                <w:sz w:val="12"/>
                <w:szCs w:val="12"/>
              </w:rPr>
            </w:pPr>
          </w:p>
        </w:tc>
        <w:tc>
          <w:tcPr>
            <w:tcW w:w="1419" w:type="dxa"/>
          </w:tcPr>
          <w:p w14:paraId="31A771C4" w14:textId="77777777" w:rsidR="002A453D" w:rsidRPr="009F6335" w:rsidRDefault="002A453D" w:rsidP="009F6335">
            <w:pPr>
              <w:spacing w:before="40" w:after="40"/>
              <w:jc w:val="center"/>
              <w:rPr>
                <w:rFonts w:asciiTheme="majorHAnsi" w:hAnsiTheme="majorHAnsi" w:cstheme="majorHAnsi"/>
                <w:sz w:val="12"/>
                <w:szCs w:val="12"/>
              </w:rPr>
            </w:pPr>
          </w:p>
        </w:tc>
        <w:tc>
          <w:tcPr>
            <w:tcW w:w="850" w:type="dxa"/>
          </w:tcPr>
          <w:p w14:paraId="7FC429CA" w14:textId="77777777" w:rsidR="002A453D" w:rsidRPr="009F6335" w:rsidRDefault="002A453D" w:rsidP="009F6335">
            <w:pPr>
              <w:spacing w:before="40" w:after="40"/>
              <w:jc w:val="center"/>
              <w:rPr>
                <w:rFonts w:asciiTheme="majorHAnsi" w:hAnsiTheme="majorHAnsi" w:cstheme="majorHAnsi"/>
                <w:sz w:val="12"/>
                <w:szCs w:val="12"/>
              </w:rPr>
            </w:pPr>
          </w:p>
        </w:tc>
        <w:tc>
          <w:tcPr>
            <w:tcW w:w="1417" w:type="dxa"/>
          </w:tcPr>
          <w:p w14:paraId="2384366D" w14:textId="77777777" w:rsidR="002A453D" w:rsidRPr="009F6335" w:rsidRDefault="002A453D" w:rsidP="009F6335">
            <w:pPr>
              <w:spacing w:before="40" w:after="40"/>
              <w:jc w:val="center"/>
              <w:rPr>
                <w:rFonts w:asciiTheme="majorHAnsi" w:hAnsiTheme="majorHAnsi" w:cstheme="majorHAnsi"/>
                <w:sz w:val="12"/>
                <w:szCs w:val="12"/>
              </w:rPr>
            </w:pPr>
          </w:p>
        </w:tc>
        <w:tc>
          <w:tcPr>
            <w:tcW w:w="1418" w:type="dxa"/>
          </w:tcPr>
          <w:p w14:paraId="2228B9CF" w14:textId="77777777" w:rsidR="002A453D" w:rsidRPr="009F6335" w:rsidRDefault="002A453D" w:rsidP="009F6335">
            <w:pPr>
              <w:spacing w:before="40" w:after="40"/>
              <w:jc w:val="center"/>
              <w:rPr>
                <w:rFonts w:asciiTheme="majorHAnsi" w:hAnsiTheme="majorHAnsi" w:cstheme="majorHAnsi"/>
                <w:sz w:val="12"/>
                <w:szCs w:val="12"/>
              </w:rPr>
            </w:pPr>
          </w:p>
        </w:tc>
      </w:tr>
      <w:tr w:rsidR="009F6335" w:rsidRPr="009F6335" w14:paraId="3F6A8DE1" w14:textId="77777777" w:rsidTr="009F6335">
        <w:trPr>
          <w:cantSplit/>
          <w:jc w:val="center"/>
        </w:trPr>
        <w:tc>
          <w:tcPr>
            <w:tcW w:w="2268" w:type="dxa"/>
          </w:tcPr>
          <w:p w14:paraId="30022022" w14:textId="140C1E88" w:rsidR="002A453D" w:rsidRPr="009F6335" w:rsidRDefault="002A453D" w:rsidP="009F6335">
            <w:pPr>
              <w:spacing w:before="40" w:after="40"/>
              <w:rPr>
                <w:rFonts w:asciiTheme="majorHAnsi" w:hAnsiTheme="majorHAnsi" w:cstheme="majorHAnsi"/>
                <w:bCs/>
                <w:sz w:val="12"/>
                <w:szCs w:val="12"/>
              </w:rPr>
            </w:pPr>
            <w:r w:rsidRPr="009F6335">
              <w:rPr>
                <w:rFonts w:asciiTheme="majorHAnsi" w:hAnsiTheme="majorHAnsi" w:cstheme="majorHAnsi"/>
                <w:sz w:val="12"/>
                <w:szCs w:val="12"/>
              </w:rPr>
              <w:t>&lt; 5</w:t>
            </w:r>
          </w:p>
        </w:tc>
        <w:tc>
          <w:tcPr>
            <w:tcW w:w="850" w:type="dxa"/>
          </w:tcPr>
          <w:p w14:paraId="5C979616" w14:textId="5CD430D8" w:rsidR="002A453D" w:rsidRPr="009F6335" w:rsidRDefault="002A453D" w:rsidP="009F6335">
            <w:pPr>
              <w:spacing w:before="40" w:after="40"/>
              <w:jc w:val="center"/>
              <w:rPr>
                <w:rFonts w:asciiTheme="majorHAnsi" w:hAnsiTheme="majorHAnsi" w:cstheme="majorHAnsi"/>
                <w:color w:val="000000" w:themeColor="text1"/>
                <w:sz w:val="12"/>
                <w:szCs w:val="12"/>
              </w:rPr>
            </w:pPr>
            <w:r w:rsidRPr="009F6335">
              <w:rPr>
                <w:rFonts w:asciiTheme="majorHAnsi" w:hAnsiTheme="majorHAnsi" w:cstheme="majorHAnsi"/>
                <w:color w:val="000000" w:themeColor="text1"/>
                <w:sz w:val="12"/>
                <w:szCs w:val="12"/>
              </w:rPr>
              <w:t>5 (3%)</w:t>
            </w:r>
          </w:p>
        </w:tc>
        <w:tc>
          <w:tcPr>
            <w:tcW w:w="1417" w:type="dxa"/>
          </w:tcPr>
          <w:p w14:paraId="3E65C3C0" w14:textId="00EAF1CA"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0.11 (0.04–0.27)</w:t>
            </w:r>
          </w:p>
        </w:tc>
        <w:tc>
          <w:tcPr>
            <w:tcW w:w="1418" w:type="dxa"/>
          </w:tcPr>
          <w:p w14:paraId="43ADA589" w14:textId="4E64A172"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w:t>
            </w:r>
          </w:p>
        </w:tc>
        <w:tc>
          <w:tcPr>
            <w:tcW w:w="1134" w:type="dxa"/>
          </w:tcPr>
          <w:p w14:paraId="77B44D23" w14:textId="77777777"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16 (0.2%)</w:t>
            </w:r>
          </w:p>
        </w:tc>
        <w:tc>
          <w:tcPr>
            <w:tcW w:w="1417" w:type="dxa"/>
          </w:tcPr>
          <w:p w14:paraId="5B0025C8" w14:textId="5811E2AB" w:rsidR="002A453D" w:rsidRPr="009F6335" w:rsidRDefault="002A453D" w:rsidP="009F6335">
            <w:pPr>
              <w:spacing w:before="40" w:after="40"/>
              <w:ind w:right="-106"/>
              <w:jc w:val="center"/>
              <w:rPr>
                <w:rFonts w:asciiTheme="majorHAnsi" w:hAnsiTheme="majorHAnsi" w:cstheme="majorHAnsi"/>
                <w:sz w:val="12"/>
                <w:szCs w:val="12"/>
              </w:rPr>
            </w:pPr>
            <w:r w:rsidRPr="009F6335">
              <w:rPr>
                <w:rFonts w:asciiTheme="majorHAnsi" w:hAnsiTheme="majorHAnsi" w:cstheme="majorHAnsi"/>
                <w:sz w:val="12"/>
                <w:szCs w:val="12"/>
              </w:rPr>
              <w:t>0.36 (0.21–0.59)</w:t>
            </w:r>
          </w:p>
        </w:tc>
        <w:tc>
          <w:tcPr>
            <w:tcW w:w="1419" w:type="dxa"/>
          </w:tcPr>
          <w:p w14:paraId="0310B9B8" w14:textId="51A5FD80"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w:t>
            </w:r>
          </w:p>
        </w:tc>
        <w:tc>
          <w:tcPr>
            <w:tcW w:w="850" w:type="dxa"/>
          </w:tcPr>
          <w:p w14:paraId="33B18403" w14:textId="77777777"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 (0.1%)</w:t>
            </w:r>
          </w:p>
        </w:tc>
        <w:tc>
          <w:tcPr>
            <w:tcW w:w="1417" w:type="dxa"/>
          </w:tcPr>
          <w:p w14:paraId="3C223B76" w14:textId="1FBFEB55"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0.03 (0.00–0.14)</w:t>
            </w:r>
          </w:p>
        </w:tc>
        <w:tc>
          <w:tcPr>
            <w:tcW w:w="1418" w:type="dxa"/>
          </w:tcPr>
          <w:p w14:paraId="7F998404" w14:textId="0292FB4D"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w:t>
            </w:r>
          </w:p>
        </w:tc>
      </w:tr>
      <w:tr w:rsidR="009F6335" w:rsidRPr="009F6335" w14:paraId="69FB02D7" w14:textId="77777777" w:rsidTr="009F6335">
        <w:trPr>
          <w:cantSplit/>
          <w:jc w:val="center"/>
        </w:trPr>
        <w:tc>
          <w:tcPr>
            <w:tcW w:w="2268" w:type="dxa"/>
          </w:tcPr>
          <w:p w14:paraId="75D1D776" w14:textId="0EB1BA65" w:rsidR="002A453D" w:rsidRPr="009F6335" w:rsidRDefault="002A453D" w:rsidP="009F6335">
            <w:pPr>
              <w:spacing w:before="40" w:after="40"/>
              <w:rPr>
                <w:rFonts w:asciiTheme="majorHAnsi" w:hAnsiTheme="majorHAnsi" w:cstheme="majorHAnsi"/>
                <w:sz w:val="12"/>
                <w:szCs w:val="12"/>
              </w:rPr>
            </w:pPr>
            <w:r w:rsidRPr="009F6335">
              <w:rPr>
                <w:rFonts w:asciiTheme="majorHAnsi" w:hAnsiTheme="majorHAnsi" w:cstheme="majorHAnsi"/>
                <w:sz w:val="12"/>
                <w:szCs w:val="12"/>
              </w:rPr>
              <w:t>5–9</w:t>
            </w:r>
          </w:p>
        </w:tc>
        <w:tc>
          <w:tcPr>
            <w:tcW w:w="850" w:type="dxa"/>
          </w:tcPr>
          <w:p w14:paraId="0E43CB32" w14:textId="0E5DA827" w:rsidR="002A453D" w:rsidRPr="009F6335" w:rsidRDefault="002A453D" w:rsidP="009F6335">
            <w:pPr>
              <w:spacing w:before="40" w:after="40"/>
              <w:jc w:val="center"/>
              <w:rPr>
                <w:rFonts w:asciiTheme="majorHAnsi" w:hAnsiTheme="majorHAnsi" w:cstheme="majorHAnsi"/>
                <w:color w:val="000000" w:themeColor="text1"/>
                <w:sz w:val="12"/>
                <w:szCs w:val="12"/>
              </w:rPr>
            </w:pPr>
            <w:r w:rsidRPr="009F6335">
              <w:rPr>
                <w:rFonts w:asciiTheme="majorHAnsi" w:hAnsiTheme="majorHAnsi" w:cstheme="majorHAnsi"/>
                <w:color w:val="000000" w:themeColor="text1"/>
                <w:sz w:val="12"/>
                <w:szCs w:val="12"/>
              </w:rPr>
              <w:t>31 (21%)</w:t>
            </w:r>
          </w:p>
        </w:tc>
        <w:tc>
          <w:tcPr>
            <w:tcW w:w="1417" w:type="dxa"/>
          </w:tcPr>
          <w:p w14:paraId="59D7046B" w14:textId="1CCDFFEA"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0.73 (0.50–1.04)</w:t>
            </w:r>
          </w:p>
        </w:tc>
        <w:tc>
          <w:tcPr>
            <w:tcW w:w="1418" w:type="dxa"/>
          </w:tcPr>
          <w:p w14:paraId="0639C4C7" w14:textId="10CB7906"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6.4 (2.5–1</w:t>
            </w:r>
            <w:r w:rsidR="00C10C7E">
              <w:rPr>
                <w:rFonts w:asciiTheme="majorHAnsi" w:hAnsiTheme="majorHAnsi" w:cstheme="majorHAnsi"/>
                <w:sz w:val="12"/>
                <w:szCs w:val="12"/>
              </w:rPr>
              <w:t>7</w:t>
            </w:r>
            <w:r w:rsidRPr="009F6335">
              <w:rPr>
                <w:rFonts w:asciiTheme="majorHAnsi" w:hAnsiTheme="majorHAnsi" w:cstheme="majorHAnsi"/>
                <w:sz w:val="12"/>
                <w:szCs w:val="12"/>
              </w:rPr>
              <w:t>)</w:t>
            </w:r>
          </w:p>
        </w:tc>
        <w:tc>
          <w:tcPr>
            <w:tcW w:w="1134" w:type="dxa"/>
          </w:tcPr>
          <w:p w14:paraId="713EC455" w14:textId="77777777"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22 (0.3%)</w:t>
            </w:r>
          </w:p>
        </w:tc>
        <w:tc>
          <w:tcPr>
            <w:tcW w:w="1417" w:type="dxa"/>
          </w:tcPr>
          <w:p w14:paraId="0FFEDA02" w14:textId="3F44F895" w:rsidR="002A453D" w:rsidRPr="009F6335" w:rsidRDefault="002A453D" w:rsidP="009F6335">
            <w:pPr>
              <w:spacing w:before="40" w:after="40"/>
              <w:ind w:right="-106"/>
              <w:jc w:val="center"/>
              <w:rPr>
                <w:rFonts w:asciiTheme="majorHAnsi" w:hAnsiTheme="majorHAnsi" w:cstheme="majorHAnsi"/>
                <w:sz w:val="12"/>
                <w:szCs w:val="12"/>
              </w:rPr>
            </w:pPr>
            <w:r w:rsidRPr="009F6335">
              <w:rPr>
                <w:rFonts w:asciiTheme="majorHAnsi" w:hAnsiTheme="majorHAnsi" w:cstheme="majorHAnsi"/>
                <w:sz w:val="12"/>
                <w:szCs w:val="12"/>
              </w:rPr>
              <w:t>0.52 (0.33–0.79)</w:t>
            </w:r>
          </w:p>
        </w:tc>
        <w:tc>
          <w:tcPr>
            <w:tcW w:w="1419" w:type="dxa"/>
          </w:tcPr>
          <w:p w14:paraId="37F2D0E9" w14:textId="4CE96F2A"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1.4 (0.7–2.7)</w:t>
            </w:r>
          </w:p>
        </w:tc>
        <w:tc>
          <w:tcPr>
            <w:tcW w:w="850" w:type="dxa"/>
          </w:tcPr>
          <w:p w14:paraId="79454472" w14:textId="0B433FAD"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417" w:type="dxa"/>
          </w:tcPr>
          <w:p w14:paraId="715FC664" w14:textId="634476E0"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418" w:type="dxa"/>
          </w:tcPr>
          <w:p w14:paraId="0EF1B6B5" w14:textId="01862913"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r>
      <w:tr w:rsidR="009F6335" w:rsidRPr="009F6335" w14:paraId="17315B3B" w14:textId="77777777" w:rsidTr="009F6335">
        <w:trPr>
          <w:cantSplit/>
          <w:jc w:val="center"/>
        </w:trPr>
        <w:tc>
          <w:tcPr>
            <w:tcW w:w="2268" w:type="dxa"/>
          </w:tcPr>
          <w:p w14:paraId="5DA8CEB7" w14:textId="6594080D" w:rsidR="002A453D" w:rsidRPr="009F6335" w:rsidRDefault="002A453D" w:rsidP="009F6335">
            <w:pPr>
              <w:spacing w:before="40" w:after="40"/>
              <w:rPr>
                <w:rFonts w:asciiTheme="majorHAnsi" w:hAnsiTheme="majorHAnsi" w:cstheme="majorHAnsi"/>
                <w:sz w:val="12"/>
                <w:szCs w:val="12"/>
              </w:rPr>
            </w:pPr>
            <w:r w:rsidRPr="009F6335">
              <w:rPr>
                <w:rFonts w:asciiTheme="majorHAnsi" w:hAnsiTheme="majorHAnsi" w:cstheme="majorHAnsi"/>
                <w:sz w:val="12"/>
                <w:szCs w:val="12"/>
              </w:rPr>
              <w:t>10–14</w:t>
            </w:r>
          </w:p>
        </w:tc>
        <w:tc>
          <w:tcPr>
            <w:tcW w:w="850" w:type="dxa"/>
          </w:tcPr>
          <w:p w14:paraId="300F2FCD" w14:textId="6C391231" w:rsidR="002A453D" w:rsidRPr="009F6335" w:rsidRDefault="002A453D" w:rsidP="009F6335">
            <w:pPr>
              <w:spacing w:before="40" w:after="40"/>
              <w:jc w:val="center"/>
              <w:rPr>
                <w:rFonts w:asciiTheme="majorHAnsi" w:hAnsiTheme="majorHAnsi" w:cstheme="majorHAnsi"/>
                <w:color w:val="000000" w:themeColor="text1"/>
                <w:sz w:val="12"/>
                <w:szCs w:val="12"/>
              </w:rPr>
            </w:pPr>
            <w:r w:rsidRPr="009F6335">
              <w:rPr>
                <w:rFonts w:asciiTheme="majorHAnsi" w:hAnsiTheme="majorHAnsi" w:cstheme="majorHAnsi"/>
                <w:color w:val="000000" w:themeColor="text1"/>
                <w:sz w:val="12"/>
                <w:szCs w:val="12"/>
              </w:rPr>
              <w:t>48 (33%)</w:t>
            </w:r>
          </w:p>
        </w:tc>
        <w:tc>
          <w:tcPr>
            <w:tcW w:w="1417" w:type="dxa"/>
          </w:tcPr>
          <w:p w14:paraId="51A9A5D6" w14:textId="264B7A35"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1.17 (0.86–1.55)</w:t>
            </w:r>
          </w:p>
        </w:tc>
        <w:tc>
          <w:tcPr>
            <w:tcW w:w="1418" w:type="dxa"/>
          </w:tcPr>
          <w:p w14:paraId="1DB04DEC" w14:textId="008A326B"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10 (4.1–26)</w:t>
            </w:r>
          </w:p>
        </w:tc>
        <w:tc>
          <w:tcPr>
            <w:tcW w:w="1134" w:type="dxa"/>
          </w:tcPr>
          <w:p w14:paraId="0FAA2796" w14:textId="77777777"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30 (0.4%)</w:t>
            </w:r>
          </w:p>
        </w:tc>
        <w:tc>
          <w:tcPr>
            <w:tcW w:w="1417" w:type="dxa"/>
          </w:tcPr>
          <w:p w14:paraId="0DBD5899" w14:textId="3CD9C0E7" w:rsidR="002A453D" w:rsidRPr="009F6335" w:rsidRDefault="002A453D" w:rsidP="009F6335">
            <w:pPr>
              <w:spacing w:before="40" w:after="40"/>
              <w:ind w:right="-106"/>
              <w:jc w:val="center"/>
              <w:rPr>
                <w:rFonts w:asciiTheme="majorHAnsi" w:hAnsiTheme="majorHAnsi" w:cstheme="majorHAnsi"/>
                <w:sz w:val="12"/>
                <w:szCs w:val="12"/>
              </w:rPr>
            </w:pPr>
            <w:r w:rsidRPr="009F6335">
              <w:rPr>
                <w:rFonts w:asciiTheme="majorHAnsi" w:hAnsiTheme="majorHAnsi" w:cstheme="majorHAnsi"/>
                <w:sz w:val="12"/>
                <w:szCs w:val="12"/>
              </w:rPr>
              <w:t>0.73 (0.49–1.04)</w:t>
            </w:r>
          </w:p>
        </w:tc>
        <w:tc>
          <w:tcPr>
            <w:tcW w:w="1419" w:type="dxa"/>
          </w:tcPr>
          <w:p w14:paraId="7BD66E23" w14:textId="5198D5D6"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2.0 (1.1–3.7)</w:t>
            </w:r>
          </w:p>
        </w:tc>
        <w:tc>
          <w:tcPr>
            <w:tcW w:w="850" w:type="dxa"/>
          </w:tcPr>
          <w:p w14:paraId="6C4C276D" w14:textId="33394CED"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417" w:type="dxa"/>
          </w:tcPr>
          <w:p w14:paraId="40918466" w14:textId="65C6883C"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418" w:type="dxa"/>
          </w:tcPr>
          <w:p w14:paraId="3B53C174" w14:textId="15FBD2B4"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r>
      <w:tr w:rsidR="009F6335" w:rsidRPr="009F6335" w14:paraId="7CB15339" w14:textId="77777777" w:rsidTr="009F6335">
        <w:trPr>
          <w:cantSplit/>
          <w:jc w:val="center"/>
        </w:trPr>
        <w:tc>
          <w:tcPr>
            <w:tcW w:w="2268" w:type="dxa"/>
          </w:tcPr>
          <w:p w14:paraId="5B85A2F9" w14:textId="0F3F2F15" w:rsidR="002A453D" w:rsidRPr="009F6335" w:rsidRDefault="002A453D" w:rsidP="009F6335">
            <w:pPr>
              <w:spacing w:before="40" w:after="40"/>
              <w:rPr>
                <w:rFonts w:asciiTheme="majorHAnsi" w:hAnsiTheme="majorHAnsi" w:cstheme="majorHAnsi"/>
                <w:sz w:val="12"/>
                <w:szCs w:val="12"/>
              </w:rPr>
            </w:pPr>
            <w:r w:rsidRPr="009F6335">
              <w:rPr>
                <w:rFonts w:asciiTheme="majorHAnsi" w:hAnsiTheme="majorHAnsi" w:cstheme="majorHAnsi"/>
                <w:sz w:val="12"/>
                <w:szCs w:val="12"/>
              </w:rPr>
              <w:t>15–19</w:t>
            </w:r>
          </w:p>
        </w:tc>
        <w:tc>
          <w:tcPr>
            <w:tcW w:w="850" w:type="dxa"/>
          </w:tcPr>
          <w:p w14:paraId="30CA21AB" w14:textId="7E1043E6" w:rsidR="002A453D" w:rsidRPr="009F6335" w:rsidRDefault="002A453D" w:rsidP="009F6335">
            <w:pPr>
              <w:spacing w:before="40" w:after="40"/>
              <w:jc w:val="center"/>
              <w:rPr>
                <w:rFonts w:asciiTheme="majorHAnsi" w:hAnsiTheme="majorHAnsi" w:cstheme="majorHAnsi"/>
                <w:color w:val="000000" w:themeColor="text1"/>
                <w:sz w:val="12"/>
                <w:szCs w:val="12"/>
              </w:rPr>
            </w:pPr>
            <w:r w:rsidRPr="009F6335">
              <w:rPr>
                <w:rFonts w:asciiTheme="majorHAnsi" w:hAnsiTheme="majorHAnsi" w:cstheme="majorHAnsi"/>
                <w:color w:val="000000" w:themeColor="text1"/>
                <w:sz w:val="12"/>
                <w:szCs w:val="12"/>
              </w:rPr>
              <w:t>30 (20%)</w:t>
            </w:r>
          </w:p>
        </w:tc>
        <w:tc>
          <w:tcPr>
            <w:tcW w:w="1417" w:type="dxa"/>
          </w:tcPr>
          <w:p w14:paraId="557A7696" w14:textId="7A5D2DB5"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0.69 (0.47–0.99)</w:t>
            </w:r>
          </w:p>
        </w:tc>
        <w:tc>
          <w:tcPr>
            <w:tcW w:w="1418" w:type="dxa"/>
          </w:tcPr>
          <w:p w14:paraId="44F98092" w14:textId="7F5F10BB" w:rsidR="002A453D" w:rsidRPr="009F6335" w:rsidDel="009C1C49"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6.1 (2.4–16)</w:t>
            </w:r>
          </w:p>
        </w:tc>
        <w:tc>
          <w:tcPr>
            <w:tcW w:w="1134" w:type="dxa"/>
          </w:tcPr>
          <w:p w14:paraId="32C62D64" w14:textId="77777777"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33 (0.5%)</w:t>
            </w:r>
          </w:p>
        </w:tc>
        <w:tc>
          <w:tcPr>
            <w:tcW w:w="1417" w:type="dxa"/>
          </w:tcPr>
          <w:p w14:paraId="77C832B0" w14:textId="7487267C" w:rsidR="002A453D" w:rsidRPr="009F6335" w:rsidRDefault="002A453D" w:rsidP="009F6335">
            <w:pPr>
              <w:spacing w:before="40" w:after="40"/>
              <w:ind w:right="-106"/>
              <w:jc w:val="center"/>
              <w:rPr>
                <w:rFonts w:asciiTheme="majorHAnsi" w:hAnsiTheme="majorHAnsi" w:cstheme="majorHAnsi"/>
                <w:sz w:val="12"/>
                <w:szCs w:val="12"/>
              </w:rPr>
            </w:pPr>
            <w:r w:rsidRPr="009F6335">
              <w:rPr>
                <w:rFonts w:asciiTheme="majorHAnsi" w:hAnsiTheme="majorHAnsi" w:cstheme="majorHAnsi"/>
                <w:sz w:val="12"/>
                <w:szCs w:val="12"/>
              </w:rPr>
              <w:t>0.76 (0.52–1.07)</w:t>
            </w:r>
          </w:p>
        </w:tc>
        <w:tc>
          <w:tcPr>
            <w:tcW w:w="1419" w:type="dxa"/>
          </w:tcPr>
          <w:p w14:paraId="73D6C592" w14:textId="42B358A0" w:rsidR="002A453D" w:rsidRPr="009F6335" w:rsidRDefault="002A453D" w:rsidP="009F6335">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2.1 (1.2–3.8)</w:t>
            </w:r>
          </w:p>
        </w:tc>
        <w:tc>
          <w:tcPr>
            <w:tcW w:w="850" w:type="dxa"/>
          </w:tcPr>
          <w:p w14:paraId="116658D8" w14:textId="77777777"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 (0.1%)</w:t>
            </w:r>
          </w:p>
        </w:tc>
        <w:tc>
          <w:tcPr>
            <w:tcW w:w="1417" w:type="dxa"/>
          </w:tcPr>
          <w:p w14:paraId="1E6B120A" w14:textId="1AEADAF7"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0.03 (0.00–0.14)</w:t>
            </w:r>
          </w:p>
        </w:tc>
        <w:tc>
          <w:tcPr>
            <w:tcW w:w="1418" w:type="dxa"/>
          </w:tcPr>
          <w:p w14:paraId="6979B212" w14:textId="025D7F98" w:rsidR="002A453D" w:rsidRPr="009F6335" w:rsidRDefault="002A453D" w:rsidP="005F1049">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 (0.1</w:t>
            </w:r>
            <w:r w:rsidR="005F1049">
              <w:rPr>
                <w:rFonts w:asciiTheme="majorHAnsi" w:hAnsiTheme="majorHAnsi" w:cstheme="majorHAnsi"/>
                <w:sz w:val="12"/>
                <w:szCs w:val="12"/>
              </w:rPr>
              <w:t>‒</w:t>
            </w:r>
            <w:r w:rsidRPr="009F6335">
              <w:rPr>
                <w:rFonts w:asciiTheme="majorHAnsi" w:hAnsiTheme="majorHAnsi" w:cstheme="majorHAnsi"/>
                <w:sz w:val="12"/>
                <w:szCs w:val="12"/>
              </w:rPr>
              <w:t>16)</w:t>
            </w:r>
          </w:p>
        </w:tc>
      </w:tr>
      <w:tr w:rsidR="009F6335" w:rsidRPr="009F6335" w14:paraId="4513737A" w14:textId="77777777" w:rsidTr="009F6335">
        <w:trPr>
          <w:cantSplit/>
          <w:jc w:val="center"/>
        </w:trPr>
        <w:tc>
          <w:tcPr>
            <w:tcW w:w="2268" w:type="dxa"/>
          </w:tcPr>
          <w:p w14:paraId="39D2A71F" w14:textId="07F1F0A9" w:rsidR="002A453D" w:rsidRPr="009F6335" w:rsidRDefault="002A453D" w:rsidP="009F6335">
            <w:pPr>
              <w:spacing w:before="40" w:after="40"/>
              <w:rPr>
                <w:rFonts w:asciiTheme="majorHAnsi" w:hAnsiTheme="majorHAnsi" w:cstheme="majorHAnsi"/>
                <w:sz w:val="12"/>
                <w:szCs w:val="12"/>
              </w:rPr>
            </w:pPr>
            <w:r w:rsidRPr="009F6335">
              <w:rPr>
                <w:rFonts w:asciiTheme="majorHAnsi" w:hAnsiTheme="majorHAnsi" w:cstheme="majorHAnsi"/>
                <w:sz w:val="12"/>
                <w:szCs w:val="12"/>
              </w:rPr>
              <w:t>20–29</w:t>
            </w:r>
          </w:p>
        </w:tc>
        <w:tc>
          <w:tcPr>
            <w:tcW w:w="850" w:type="dxa"/>
          </w:tcPr>
          <w:p w14:paraId="61621C03" w14:textId="66C7A044" w:rsidR="002A453D" w:rsidRPr="009F6335" w:rsidRDefault="002A453D" w:rsidP="009F6335">
            <w:pPr>
              <w:spacing w:before="40" w:after="40"/>
              <w:jc w:val="center"/>
              <w:rPr>
                <w:rFonts w:asciiTheme="majorHAnsi" w:hAnsiTheme="majorHAnsi" w:cstheme="majorHAnsi"/>
                <w:color w:val="000000" w:themeColor="text1"/>
                <w:sz w:val="12"/>
                <w:szCs w:val="12"/>
              </w:rPr>
            </w:pPr>
            <w:r w:rsidRPr="009F6335">
              <w:rPr>
                <w:rFonts w:asciiTheme="majorHAnsi" w:hAnsiTheme="majorHAnsi" w:cstheme="majorHAnsi"/>
                <w:color w:val="000000" w:themeColor="text1"/>
                <w:sz w:val="12"/>
                <w:szCs w:val="12"/>
              </w:rPr>
              <w:t>17 (12%)</w:t>
            </w:r>
          </w:p>
        </w:tc>
        <w:tc>
          <w:tcPr>
            <w:tcW w:w="1417" w:type="dxa"/>
          </w:tcPr>
          <w:p w14:paraId="0BD9916F" w14:textId="06476EDD"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0.16 (0.10–0.26)</w:t>
            </w:r>
          </w:p>
        </w:tc>
        <w:tc>
          <w:tcPr>
            <w:tcW w:w="1418" w:type="dxa"/>
          </w:tcPr>
          <w:p w14:paraId="6D5F77FC" w14:textId="02AAA654"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1.4 (0.5–3.9)</w:t>
            </w:r>
          </w:p>
        </w:tc>
        <w:tc>
          <w:tcPr>
            <w:tcW w:w="1134" w:type="dxa"/>
          </w:tcPr>
          <w:p w14:paraId="028AFA8F" w14:textId="77777777"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116 (1.7%)</w:t>
            </w:r>
          </w:p>
        </w:tc>
        <w:tc>
          <w:tcPr>
            <w:tcW w:w="1417" w:type="dxa"/>
          </w:tcPr>
          <w:p w14:paraId="28BAE4BE" w14:textId="227DC00E" w:rsidR="002A453D" w:rsidRPr="009F6335" w:rsidRDefault="002A453D" w:rsidP="009F6335">
            <w:pPr>
              <w:spacing w:before="40" w:after="40"/>
              <w:ind w:right="-106"/>
              <w:jc w:val="center"/>
              <w:rPr>
                <w:rFonts w:asciiTheme="majorHAnsi" w:hAnsiTheme="majorHAnsi" w:cstheme="majorHAnsi"/>
                <w:sz w:val="12"/>
                <w:szCs w:val="12"/>
              </w:rPr>
            </w:pPr>
            <w:r w:rsidRPr="009F6335">
              <w:rPr>
                <w:rFonts w:asciiTheme="majorHAnsi" w:hAnsiTheme="majorHAnsi" w:cstheme="majorHAnsi"/>
                <w:sz w:val="12"/>
                <w:szCs w:val="12"/>
              </w:rPr>
              <w:t>1.12 (0.92–1.34)</w:t>
            </w:r>
          </w:p>
        </w:tc>
        <w:tc>
          <w:tcPr>
            <w:tcW w:w="1419" w:type="dxa"/>
          </w:tcPr>
          <w:p w14:paraId="27BF2AE4" w14:textId="4E3A96FE" w:rsidR="002A453D" w:rsidRPr="009F6335" w:rsidRDefault="002A453D" w:rsidP="009F6335">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3.1 (1.8–5.2)</w:t>
            </w:r>
          </w:p>
        </w:tc>
        <w:tc>
          <w:tcPr>
            <w:tcW w:w="850" w:type="dxa"/>
          </w:tcPr>
          <w:p w14:paraId="6BDD3548" w14:textId="77777777"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2 (0.2%)</w:t>
            </w:r>
          </w:p>
        </w:tc>
        <w:tc>
          <w:tcPr>
            <w:tcW w:w="1417" w:type="dxa"/>
          </w:tcPr>
          <w:p w14:paraId="2051FDCC" w14:textId="3EDEE8D5"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0.02 (0.00–0.08)</w:t>
            </w:r>
          </w:p>
        </w:tc>
        <w:tc>
          <w:tcPr>
            <w:tcW w:w="1418" w:type="dxa"/>
          </w:tcPr>
          <w:p w14:paraId="168345A4" w14:textId="7C916A2B"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0.9 (0.1–9)</w:t>
            </w:r>
          </w:p>
        </w:tc>
      </w:tr>
      <w:tr w:rsidR="009F6335" w:rsidRPr="009F6335" w14:paraId="2E06253F" w14:textId="77777777" w:rsidTr="009F6335">
        <w:trPr>
          <w:cantSplit/>
          <w:jc w:val="center"/>
        </w:trPr>
        <w:tc>
          <w:tcPr>
            <w:tcW w:w="2268" w:type="dxa"/>
          </w:tcPr>
          <w:p w14:paraId="1641F36D" w14:textId="72919B25" w:rsidR="002A453D" w:rsidRPr="009F6335" w:rsidRDefault="002A453D" w:rsidP="009F6335">
            <w:pPr>
              <w:spacing w:before="40" w:after="40"/>
              <w:rPr>
                <w:rFonts w:asciiTheme="majorHAnsi" w:hAnsiTheme="majorHAnsi" w:cstheme="majorHAnsi"/>
                <w:sz w:val="12"/>
                <w:szCs w:val="12"/>
              </w:rPr>
            </w:pPr>
            <w:r w:rsidRPr="009F6335">
              <w:rPr>
                <w:rFonts w:asciiTheme="majorHAnsi" w:hAnsiTheme="majorHAnsi" w:cstheme="majorHAnsi"/>
                <w:sz w:val="12"/>
                <w:szCs w:val="12"/>
              </w:rPr>
              <w:t>30–39</w:t>
            </w:r>
          </w:p>
        </w:tc>
        <w:tc>
          <w:tcPr>
            <w:tcW w:w="850" w:type="dxa"/>
          </w:tcPr>
          <w:p w14:paraId="7B2469D8" w14:textId="56177748" w:rsidR="002A453D" w:rsidRPr="009F6335" w:rsidRDefault="002A453D" w:rsidP="009F6335">
            <w:pPr>
              <w:spacing w:before="40" w:after="40"/>
              <w:jc w:val="center"/>
              <w:rPr>
                <w:rFonts w:asciiTheme="majorHAnsi" w:hAnsiTheme="majorHAnsi" w:cstheme="majorHAnsi"/>
                <w:color w:val="000000" w:themeColor="text1"/>
                <w:sz w:val="12"/>
                <w:szCs w:val="12"/>
              </w:rPr>
            </w:pPr>
            <w:r w:rsidRPr="009F6335">
              <w:rPr>
                <w:rFonts w:asciiTheme="majorHAnsi" w:hAnsiTheme="majorHAnsi" w:cstheme="majorHAnsi"/>
                <w:color w:val="000000" w:themeColor="text1"/>
                <w:sz w:val="12"/>
                <w:szCs w:val="12"/>
              </w:rPr>
              <w:t>15 (10%)</w:t>
            </w:r>
          </w:p>
        </w:tc>
        <w:tc>
          <w:tcPr>
            <w:tcW w:w="1417" w:type="dxa"/>
          </w:tcPr>
          <w:p w14:paraId="3EFD8E16" w14:textId="46E1A4BF"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0.15 (0.08–0.25)</w:t>
            </w:r>
          </w:p>
        </w:tc>
        <w:tc>
          <w:tcPr>
            <w:tcW w:w="1418" w:type="dxa"/>
          </w:tcPr>
          <w:p w14:paraId="6EAC2976" w14:textId="381E357B" w:rsidR="002A453D" w:rsidRPr="009F6335" w:rsidDel="009C1C49"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1.3 (0.5–3.6)</w:t>
            </w:r>
          </w:p>
        </w:tc>
        <w:tc>
          <w:tcPr>
            <w:tcW w:w="1134" w:type="dxa"/>
          </w:tcPr>
          <w:p w14:paraId="5DBF8DED" w14:textId="77777777"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211 (3.1%)</w:t>
            </w:r>
          </w:p>
        </w:tc>
        <w:tc>
          <w:tcPr>
            <w:tcW w:w="1417" w:type="dxa"/>
          </w:tcPr>
          <w:p w14:paraId="18B492E5" w14:textId="7E607561" w:rsidR="002A453D" w:rsidRPr="009F6335" w:rsidRDefault="002A453D" w:rsidP="009F6335">
            <w:pPr>
              <w:spacing w:before="40" w:after="40"/>
              <w:ind w:right="-106"/>
              <w:jc w:val="center"/>
              <w:rPr>
                <w:rFonts w:asciiTheme="majorHAnsi" w:hAnsiTheme="majorHAnsi" w:cstheme="majorHAnsi"/>
                <w:sz w:val="12"/>
                <w:szCs w:val="12"/>
              </w:rPr>
            </w:pPr>
            <w:r w:rsidRPr="009F6335">
              <w:rPr>
                <w:rFonts w:asciiTheme="majorHAnsi" w:hAnsiTheme="majorHAnsi" w:cstheme="majorHAnsi"/>
                <w:sz w:val="12"/>
                <w:szCs w:val="12"/>
              </w:rPr>
              <w:t>2.10 (1.83–2.41)</w:t>
            </w:r>
          </w:p>
        </w:tc>
        <w:tc>
          <w:tcPr>
            <w:tcW w:w="1419" w:type="dxa"/>
          </w:tcPr>
          <w:p w14:paraId="1943E938" w14:textId="4501A944"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5.8 (3.5–9.6)</w:t>
            </w:r>
          </w:p>
        </w:tc>
        <w:tc>
          <w:tcPr>
            <w:tcW w:w="850" w:type="dxa"/>
          </w:tcPr>
          <w:p w14:paraId="5D56C356" w14:textId="77777777"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11 (1.1%)</w:t>
            </w:r>
          </w:p>
        </w:tc>
        <w:tc>
          <w:tcPr>
            <w:tcW w:w="1417" w:type="dxa"/>
          </w:tcPr>
          <w:p w14:paraId="6490AAB5" w14:textId="08970893"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0.11 (0.05–0.20)</w:t>
            </w:r>
          </w:p>
        </w:tc>
        <w:tc>
          <w:tcPr>
            <w:tcW w:w="1418" w:type="dxa"/>
          </w:tcPr>
          <w:p w14:paraId="04683D59" w14:textId="7FBDCAB2"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4.4 (0.6–34)</w:t>
            </w:r>
          </w:p>
        </w:tc>
      </w:tr>
      <w:tr w:rsidR="009F6335" w:rsidRPr="009F6335" w14:paraId="122082A3" w14:textId="77777777" w:rsidTr="009F6335">
        <w:trPr>
          <w:cantSplit/>
          <w:jc w:val="center"/>
        </w:trPr>
        <w:tc>
          <w:tcPr>
            <w:tcW w:w="2268" w:type="dxa"/>
          </w:tcPr>
          <w:p w14:paraId="3CCFB848" w14:textId="43CF31E1" w:rsidR="002A453D" w:rsidRPr="009F6335" w:rsidRDefault="002A453D" w:rsidP="009F6335">
            <w:pPr>
              <w:spacing w:before="40" w:after="40"/>
              <w:rPr>
                <w:rFonts w:asciiTheme="majorHAnsi" w:hAnsiTheme="majorHAnsi" w:cstheme="majorHAnsi"/>
                <w:sz w:val="12"/>
                <w:szCs w:val="12"/>
              </w:rPr>
            </w:pPr>
            <w:r w:rsidRPr="009F6335">
              <w:rPr>
                <w:rFonts w:asciiTheme="majorHAnsi" w:hAnsiTheme="majorHAnsi" w:cstheme="majorHAnsi"/>
                <w:sz w:val="12"/>
                <w:szCs w:val="12"/>
              </w:rPr>
              <w:t>40–49</w:t>
            </w:r>
          </w:p>
        </w:tc>
        <w:tc>
          <w:tcPr>
            <w:tcW w:w="850" w:type="dxa"/>
          </w:tcPr>
          <w:p w14:paraId="07DD6632" w14:textId="60A82177" w:rsidR="002A453D" w:rsidRPr="009F6335" w:rsidRDefault="002A453D" w:rsidP="009F6335">
            <w:pPr>
              <w:spacing w:before="40" w:after="40"/>
              <w:jc w:val="center"/>
              <w:rPr>
                <w:rFonts w:asciiTheme="majorHAnsi" w:hAnsiTheme="majorHAnsi" w:cstheme="majorHAnsi"/>
                <w:color w:val="000000" w:themeColor="text1"/>
                <w:sz w:val="12"/>
                <w:szCs w:val="12"/>
              </w:rPr>
            </w:pPr>
            <w:r w:rsidRPr="009F6335">
              <w:rPr>
                <w:rFonts w:asciiTheme="majorHAnsi" w:hAnsiTheme="majorHAnsi" w:cstheme="majorHAnsi"/>
                <w:sz w:val="12"/>
                <w:szCs w:val="12"/>
              </w:rPr>
              <w:t>—</w:t>
            </w:r>
          </w:p>
        </w:tc>
        <w:tc>
          <w:tcPr>
            <w:tcW w:w="1417" w:type="dxa"/>
          </w:tcPr>
          <w:p w14:paraId="53A63CF1" w14:textId="29D30360"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418" w:type="dxa"/>
          </w:tcPr>
          <w:p w14:paraId="6DCDB493" w14:textId="68F02409" w:rsidR="002A453D" w:rsidRPr="009F6335" w:rsidRDefault="002A453D" w:rsidP="009F6335">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w:t>
            </w:r>
          </w:p>
        </w:tc>
        <w:tc>
          <w:tcPr>
            <w:tcW w:w="1134" w:type="dxa"/>
          </w:tcPr>
          <w:p w14:paraId="07955282" w14:textId="77777777"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358 (5.3%)</w:t>
            </w:r>
          </w:p>
        </w:tc>
        <w:tc>
          <w:tcPr>
            <w:tcW w:w="1417" w:type="dxa"/>
          </w:tcPr>
          <w:p w14:paraId="068AF64F" w14:textId="263ABECA" w:rsidR="002A453D" w:rsidRPr="009F6335" w:rsidRDefault="002A453D" w:rsidP="009F6335">
            <w:pPr>
              <w:spacing w:before="40" w:after="40"/>
              <w:ind w:right="-106"/>
              <w:jc w:val="center"/>
              <w:rPr>
                <w:rFonts w:asciiTheme="majorHAnsi" w:hAnsiTheme="majorHAnsi" w:cstheme="majorHAnsi"/>
                <w:sz w:val="12"/>
                <w:szCs w:val="12"/>
              </w:rPr>
            </w:pPr>
            <w:r w:rsidRPr="009F6335">
              <w:rPr>
                <w:rFonts w:asciiTheme="majorHAnsi" w:hAnsiTheme="majorHAnsi" w:cstheme="majorHAnsi"/>
                <w:sz w:val="12"/>
                <w:szCs w:val="12"/>
              </w:rPr>
              <w:t>3.75 (3.37–4.16)</w:t>
            </w:r>
          </w:p>
        </w:tc>
        <w:tc>
          <w:tcPr>
            <w:tcW w:w="1419" w:type="dxa"/>
          </w:tcPr>
          <w:p w14:paraId="5C0D79B3" w14:textId="7F440C7D" w:rsidR="002A453D" w:rsidRPr="009F6335" w:rsidDel="009C1C49"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10.3 (6.3–17.0)</w:t>
            </w:r>
          </w:p>
        </w:tc>
        <w:tc>
          <w:tcPr>
            <w:tcW w:w="850" w:type="dxa"/>
          </w:tcPr>
          <w:p w14:paraId="0C02B0A1" w14:textId="77777777"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16 (1.5%)</w:t>
            </w:r>
          </w:p>
        </w:tc>
        <w:tc>
          <w:tcPr>
            <w:tcW w:w="1417" w:type="dxa"/>
          </w:tcPr>
          <w:p w14:paraId="5E3ED9D7" w14:textId="58EAA09F"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0.17 (0.10–0.28)</w:t>
            </w:r>
          </w:p>
        </w:tc>
        <w:tc>
          <w:tcPr>
            <w:tcW w:w="1418" w:type="dxa"/>
          </w:tcPr>
          <w:p w14:paraId="7C638CE1" w14:textId="2F1600EE"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6.9 (0.9–52)</w:t>
            </w:r>
          </w:p>
        </w:tc>
      </w:tr>
      <w:tr w:rsidR="009F6335" w:rsidRPr="009F6335" w14:paraId="1033B013" w14:textId="77777777" w:rsidTr="009F6335">
        <w:trPr>
          <w:cantSplit/>
          <w:jc w:val="center"/>
        </w:trPr>
        <w:tc>
          <w:tcPr>
            <w:tcW w:w="2268" w:type="dxa"/>
          </w:tcPr>
          <w:p w14:paraId="0440541A" w14:textId="3DE95741" w:rsidR="002A453D" w:rsidRPr="009F6335" w:rsidRDefault="002A453D" w:rsidP="009F6335">
            <w:pPr>
              <w:spacing w:before="40" w:after="40"/>
              <w:rPr>
                <w:rFonts w:asciiTheme="majorHAnsi" w:hAnsiTheme="majorHAnsi" w:cstheme="majorHAnsi"/>
                <w:sz w:val="12"/>
                <w:szCs w:val="12"/>
              </w:rPr>
            </w:pPr>
            <w:r w:rsidRPr="009F6335">
              <w:rPr>
                <w:rFonts w:asciiTheme="majorHAnsi" w:hAnsiTheme="majorHAnsi" w:cstheme="majorHAnsi"/>
                <w:sz w:val="12"/>
                <w:szCs w:val="12"/>
              </w:rPr>
              <w:t>50–59</w:t>
            </w:r>
          </w:p>
        </w:tc>
        <w:tc>
          <w:tcPr>
            <w:tcW w:w="850" w:type="dxa"/>
          </w:tcPr>
          <w:p w14:paraId="32E7155B" w14:textId="2970BEFA"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417" w:type="dxa"/>
          </w:tcPr>
          <w:p w14:paraId="662B0877" w14:textId="57D73352"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418" w:type="dxa"/>
          </w:tcPr>
          <w:p w14:paraId="7CB187BA" w14:textId="1ADC95F1" w:rsidR="002A453D" w:rsidRPr="009F6335" w:rsidDel="009C1C49"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134" w:type="dxa"/>
          </w:tcPr>
          <w:p w14:paraId="41B0E71A" w14:textId="77777777"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789 (11.7%)</w:t>
            </w:r>
          </w:p>
        </w:tc>
        <w:tc>
          <w:tcPr>
            <w:tcW w:w="1417" w:type="dxa"/>
          </w:tcPr>
          <w:p w14:paraId="3A9EA617" w14:textId="171EFE76" w:rsidR="002A453D" w:rsidRPr="009F6335" w:rsidRDefault="002A453D" w:rsidP="009F6335">
            <w:pPr>
              <w:spacing w:before="40" w:after="40"/>
              <w:ind w:right="-106"/>
              <w:jc w:val="center"/>
              <w:rPr>
                <w:rFonts w:asciiTheme="majorHAnsi" w:hAnsiTheme="majorHAnsi" w:cstheme="majorHAnsi"/>
                <w:sz w:val="12"/>
                <w:szCs w:val="12"/>
              </w:rPr>
            </w:pPr>
            <w:r w:rsidRPr="009F6335">
              <w:rPr>
                <w:rFonts w:asciiTheme="majorHAnsi" w:hAnsiTheme="majorHAnsi" w:cstheme="majorHAnsi"/>
                <w:sz w:val="12"/>
                <w:szCs w:val="12"/>
              </w:rPr>
              <w:t>9.28 (8.64–9.95)</w:t>
            </w:r>
          </w:p>
        </w:tc>
        <w:tc>
          <w:tcPr>
            <w:tcW w:w="1419" w:type="dxa"/>
          </w:tcPr>
          <w:p w14:paraId="5A2FFB50" w14:textId="059046DB" w:rsidR="002A453D" w:rsidRPr="009F6335" w:rsidRDefault="002A453D" w:rsidP="009F6335">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25.5 (15.6–41.8)</w:t>
            </w:r>
          </w:p>
        </w:tc>
        <w:tc>
          <w:tcPr>
            <w:tcW w:w="850" w:type="dxa"/>
          </w:tcPr>
          <w:p w14:paraId="7DC90BBE" w14:textId="77777777"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51 (4.9%)</w:t>
            </w:r>
          </w:p>
        </w:tc>
        <w:tc>
          <w:tcPr>
            <w:tcW w:w="1417" w:type="dxa"/>
          </w:tcPr>
          <w:p w14:paraId="24D47681" w14:textId="5203788A"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0.66 (0.49–0.87)</w:t>
            </w:r>
          </w:p>
        </w:tc>
        <w:tc>
          <w:tcPr>
            <w:tcW w:w="1418" w:type="dxa"/>
          </w:tcPr>
          <w:p w14:paraId="0A5C40EE" w14:textId="4386FCCA"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26 (3.6–190)</w:t>
            </w:r>
          </w:p>
        </w:tc>
      </w:tr>
      <w:tr w:rsidR="009F6335" w:rsidRPr="009F6335" w14:paraId="145D076D" w14:textId="77777777" w:rsidTr="009F6335">
        <w:trPr>
          <w:cantSplit/>
          <w:jc w:val="center"/>
        </w:trPr>
        <w:tc>
          <w:tcPr>
            <w:tcW w:w="2268" w:type="dxa"/>
          </w:tcPr>
          <w:p w14:paraId="29F67290" w14:textId="1610B8E3" w:rsidR="002A453D" w:rsidRPr="009F6335" w:rsidRDefault="002A453D" w:rsidP="009F6335">
            <w:pPr>
              <w:spacing w:before="40" w:after="40"/>
              <w:rPr>
                <w:rFonts w:asciiTheme="majorHAnsi" w:hAnsiTheme="majorHAnsi" w:cstheme="majorHAnsi"/>
                <w:sz w:val="12"/>
                <w:szCs w:val="12"/>
              </w:rPr>
            </w:pPr>
            <w:r w:rsidRPr="009F6335">
              <w:rPr>
                <w:rFonts w:asciiTheme="majorHAnsi" w:hAnsiTheme="majorHAnsi" w:cstheme="majorHAnsi"/>
                <w:sz w:val="12"/>
                <w:szCs w:val="12"/>
              </w:rPr>
              <w:t>60–69</w:t>
            </w:r>
          </w:p>
        </w:tc>
        <w:tc>
          <w:tcPr>
            <w:tcW w:w="850" w:type="dxa"/>
          </w:tcPr>
          <w:p w14:paraId="6E95D7D9" w14:textId="78892C0F"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417" w:type="dxa"/>
          </w:tcPr>
          <w:p w14:paraId="0586A25C" w14:textId="1607FDCA"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418" w:type="dxa"/>
          </w:tcPr>
          <w:p w14:paraId="7EF26B4A" w14:textId="5B29585D"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134" w:type="dxa"/>
          </w:tcPr>
          <w:p w14:paraId="350AEDD8" w14:textId="77777777"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1648 (24.4%)</w:t>
            </w:r>
          </w:p>
        </w:tc>
        <w:tc>
          <w:tcPr>
            <w:tcW w:w="1417" w:type="dxa"/>
          </w:tcPr>
          <w:p w14:paraId="7F5349F6" w14:textId="0E283756" w:rsidR="002A453D" w:rsidRPr="009F6335" w:rsidRDefault="002A453D" w:rsidP="009F6335">
            <w:pPr>
              <w:spacing w:before="40" w:after="40"/>
              <w:ind w:right="-106"/>
              <w:jc w:val="center"/>
              <w:rPr>
                <w:rFonts w:asciiTheme="majorHAnsi" w:hAnsiTheme="majorHAnsi" w:cstheme="majorHAnsi"/>
                <w:sz w:val="12"/>
                <w:szCs w:val="12"/>
              </w:rPr>
            </w:pPr>
            <w:r w:rsidRPr="009F6335">
              <w:rPr>
                <w:rFonts w:asciiTheme="majorHAnsi" w:hAnsiTheme="majorHAnsi" w:cstheme="majorHAnsi"/>
                <w:sz w:val="12"/>
                <w:szCs w:val="12"/>
              </w:rPr>
              <w:t>24.8 (23.6–26.0)</w:t>
            </w:r>
          </w:p>
        </w:tc>
        <w:tc>
          <w:tcPr>
            <w:tcW w:w="1419" w:type="dxa"/>
          </w:tcPr>
          <w:p w14:paraId="4F432D9E" w14:textId="202372A0" w:rsidR="002A453D" w:rsidRPr="009F6335" w:rsidDel="009C1C49"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68.1 (41.6–111)</w:t>
            </w:r>
          </w:p>
        </w:tc>
        <w:tc>
          <w:tcPr>
            <w:tcW w:w="850" w:type="dxa"/>
          </w:tcPr>
          <w:p w14:paraId="5F39D645" w14:textId="77777777"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107 (10.3%)</w:t>
            </w:r>
          </w:p>
        </w:tc>
        <w:tc>
          <w:tcPr>
            <w:tcW w:w="1417" w:type="dxa"/>
          </w:tcPr>
          <w:p w14:paraId="48DE0708" w14:textId="2A54C960"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1.70 (1.38–2.06)</w:t>
            </w:r>
          </w:p>
        </w:tc>
        <w:tc>
          <w:tcPr>
            <w:tcW w:w="1418" w:type="dxa"/>
          </w:tcPr>
          <w:p w14:paraId="611F99D2" w14:textId="7A2E8472" w:rsidR="002A453D" w:rsidRPr="009F6335" w:rsidRDefault="002A453D" w:rsidP="009F6335">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68 (9.4–485)</w:t>
            </w:r>
          </w:p>
        </w:tc>
      </w:tr>
      <w:tr w:rsidR="009F6335" w:rsidRPr="009F6335" w14:paraId="45E5422A" w14:textId="77777777" w:rsidTr="009F6335">
        <w:trPr>
          <w:cantSplit/>
          <w:jc w:val="center"/>
        </w:trPr>
        <w:tc>
          <w:tcPr>
            <w:tcW w:w="2268" w:type="dxa"/>
          </w:tcPr>
          <w:p w14:paraId="4FF296EC" w14:textId="05C19FD8" w:rsidR="002A453D" w:rsidRPr="009F6335" w:rsidRDefault="002A453D" w:rsidP="009F6335">
            <w:pPr>
              <w:spacing w:before="40" w:after="40"/>
              <w:rPr>
                <w:rFonts w:asciiTheme="majorHAnsi" w:hAnsiTheme="majorHAnsi" w:cstheme="majorHAnsi"/>
                <w:sz w:val="12"/>
                <w:szCs w:val="12"/>
              </w:rPr>
            </w:pPr>
            <w:r w:rsidRPr="009F6335">
              <w:rPr>
                <w:rFonts w:asciiTheme="majorHAnsi" w:hAnsiTheme="majorHAnsi" w:cstheme="majorHAnsi"/>
                <w:sz w:val="12"/>
                <w:szCs w:val="12"/>
              </w:rPr>
              <w:t>70–79</w:t>
            </w:r>
          </w:p>
        </w:tc>
        <w:tc>
          <w:tcPr>
            <w:tcW w:w="850" w:type="dxa"/>
          </w:tcPr>
          <w:p w14:paraId="2894A9A9" w14:textId="7075A49F"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417" w:type="dxa"/>
          </w:tcPr>
          <w:p w14:paraId="6A3D8EA2" w14:textId="51FE6BB1"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418" w:type="dxa"/>
          </w:tcPr>
          <w:p w14:paraId="4EB2CF3B" w14:textId="308858C3"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134" w:type="dxa"/>
          </w:tcPr>
          <w:p w14:paraId="3CC4ED0A" w14:textId="77777777"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2198 (32.5%)</w:t>
            </w:r>
          </w:p>
        </w:tc>
        <w:tc>
          <w:tcPr>
            <w:tcW w:w="1417" w:type="dxa"/>
          </w:tcPr>
          <w:p w14:paraId="69C673F8" w14:textId="167BB64E" w:rsidR="002A453D" w:rsidRPr="009F6335" w:rsidRDefault="002A453D" w:rsidP="009F6335">
            <w:pPr>
              <w:spacing w:before="40" w:after="40"/>
              <w:ind w:right="-106"/>
              <w:jc w:val="center"/>
              <w:rPr>
                <w:rFonts w:asciiTheme="majorHAnsi" w:hAnsiTheme="majorHAnsi" w:cstheme="majorHAnsi"/>
                <w:sz w:val="12"/>
                <w:szCs w:val="12"/>
              </w:rPr>
            </w:pPr>
            <w:r w:rsidRPr="009F6335">
              <w:rPr>
                <w:rFonts w:asciiTheme="majorHAnsi" w:hAnsiTheme="majorHAnsi" w:cstheme="majorHAnsi"/>
                <w:sz w:val="12"/>
                <w:szCs w:val="12"/>
              </w:rPr>
              <w:t>52.2 (50.0–54.4)</w:t>
            </w:r>
          </w:p>
        </w:tc>
        <w:tc>
          <w:tcPr>
            <w:tcW w:w="1419" w:type="dxa"/>
          </w:tcPr>
          <w:p w14:paraId="47EF08B1" w14:textId="591ABA95" w:rsidR="002A453D" w:rsidRPr="009F6335" w:rsidRDefault="002A453D" w:rsidP="009F6335">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144 (87.8–235)</w:t>
            </w:r>
          </w:p>
        </w:tc>
        <w:tc>
          <w:tcPr>
            <w:tcW w:w="850" w:type="dxa"/>
          </w:tcPr>
          <w:p w14:paraId="382D4418" w14:textId="77777777"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269 (25.8%)</w:t>
            </w:r>
          </w:p>
        </w:tc>
        <w:tc>
          <w:tcPr>
            <w:tcW w:w="1417" w:type="dxa"/>
          </w:tcPr>
          <w:p w14:paraId="3B9A25BC" w14:textId="74E2C03D"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6.69 (5.89–7.56)</w:t>
            </w:r>
          </w:p>
        </w:tc>
        <w:tc>
          <w:tcPr>
            <w:tcW w:w="1418" w:type="dxa"/>
          </w:tcPr>
          <w:p w14:paraId="42FED95B" w14:textId="35C8AB1F" w:rsidR="002A453D" w:rsidRPr="009F6335" w:rsidRDefault="002A453D" w:rsidP="009F6335">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267 (37.5–1900)</w:t>
            </w:r>
          </w:p>
        </w:tc>
      </w:tr>
      <w:tr w:rsidR="009F6335" w:rsidRPr="009F6335" w14:paraId="2F8D8AF6" w14:textId="77777777" w:rsidTr="009F6335">
        <w:trPr>
          <w:cantSplit/>
          <w:jc w:val="center"/>
        </w:trPr>
        <w:tc>
          <w:tcPr>
            <w:tcW w:w="2268" w:type="dxa"/>
          </w:tcPr>
          <w:p w14:paraId="07281164" w14:textId="54211414" w:rsidR="002A453D" w:rsidRPr="009F6335" w:rsidRDefault="002A453D" w:rsidP="009F6335">
            <w:pPr>
              <w:spacing w:before="40" w:after="40"/>
              <w:rPr>
                <w:rFonts w:asciiTheme="majorHAnsi" w:hAnsiTheme="majorHAnsi" w:cstheme="majorHAnsi"/>
                <w:sz w:val="12"/>
                <w:szCs w:val="12"/>
              </w:rPr>
            </w:pPr>
            <w:r w:rsidRPr="009F6335">
              <w:rPr>
                <w:rFonts w:asciiTheme="majorHAnsi" w:hAnsiTheme="majorHAnsi" w:cstheme="majorHAnsi"/>
                <w:sz w:val="12"/>
                <w:szCs w:val="12"/>
              </w:rPr>
              <w:t>≥ 80</w:t>
            </w:r>
          </w:p>
        </w:tc>
        <w:tc>
          <w:tcPr>
            <w:tcW w:w="850" w:type="dxa"/>
          </w:tcPr>
          <w:p w14:paraId="272FCB6C" w14:textId="6FCC7244"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417" w:type="dxa"/>
          </w:tcPr>
          <w:p w14:paraId="6F9BBA82" w14:textId="5F15AF12"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418" w:type="dxa"/>
          </w:tcPr>
          <w:p w14:paraId="273ECCA9" w14:textId="2237DCDF"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134" w:type="dxa"/>
          </w:tcPr>
          <w:p w14:paraId="2F3E2724" w14:textId="77777777"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1337 (19.8%)</w:t>
            </w:r>
          </w:p>
        </w:tc>
        <w:tc>
          <w:tcPr>
            <w:tcW w:w="1417" w:type="dxa"/>
          </w:tcPr>
          <w:p w14:paraId="7E706F4F" w14:textId="0F3C2D44"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49.1 (46.5–51.8)</w:t>
            </w:r>
          </w:p>
        </w:tc>
        <w:tc>
          <w:tcPr>
            <w:tcW w:w="1419" w:type="dxa"/>
          </w:tcPr>
          <w:p w14:paraId="3B6CFDAA" w14:textId="29C9BE2D" w:rsidR="002A453D" w:rsidRPr="009F6335" w:rsidRDefault="002A453D" w:rsidP="009F6335">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135 (82.5–221)</w:t>
            </w:r>
          </w:p>
        </w:tc>
        <w:tc>
          <w:tcPr>
            <w:tcW w:w="850" w:type="dxa"/>
          </w:tcPr>
          <w:p w14:paraId="5F4C3387" w14:textId="77777777"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585 (56.1%)</w:t>
            </w:r>
          </w:p>
        </w:tc>
        <w:tc>
          <w:tcPr>
            <w:tcW w:w="1417" w:type="dxa"/>
          </w:tcPr>
          <w:p w14:paraId="0961BAE8" w14:textId="4771876F"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22.7 (20.9–24.7)</w:t>
            </w:r>
          </w:p>
        </w:tc>
        <w:tc>
          <w:tcPr>
            <w:tcW w:w="1418" w:type="dxa"/>
          </w:tcPr>
          <w:p w14:paraId="510B0A0E" w14:textId="6E599CE6" w:rsidR="002A453D" w:rsidRPr="009F6335" w:rsidRDefault="002A453D" w:rsidP="009F6335">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907 (128–6450)</w:t>
            </w:r>
          </w:p>
        </w:tc>
      </w:tr>
      <w:tr w:rsidR="009F6335" w:rsidRPr="009F6335" w14:paraId="5BA3394A" w14:textId="77777777" w:rsidTr="009F6335">
        <w:trPr>
          <w:cantSplit/>
          <w:jc w:val="center"/>
        </w:trPr>
        <w:tc>
          <w:tcPr>
            <w:tcW w:w="2268" w:type="dxa"/>
          </w:tcPr>
          <w:p w14:paraId="4D06EF74" w14:textId="3466A21A" w:rsidR="002A453D" w:rsidRPr="00DD0452" w:rsidRDefault="002A453D" w:rsidP="009F6335">
            <w:pPr>
              <w:spacing w:before="40" w:after="40"/>
              <w:rPr>
                <w:rFonts w:asciiTheme="majorHAnsi" w:hAnsiTheme="majorHAnsi" w:cstheme="majorHAnsi"/>
                <w:b/>
                <w:sz w:val="12"/>
                <w:szCs w:val="12"/>
              </w:rPr>
            </w:pPr>
            <w:r w:rsidRPr="00DD0452">
              <w:rPr>
                <w:rFonts w:asciiTheme="majorHAnsi" w:hAnsiTheme="majorHAnsi" w:cstheme="majorHAnsi"/>
                <w:b/>
                <w:bCs/>
                <w:sz w:val="12"/>
                <w:szCs w:val="12"/>
              </w:rPr>
              <w:t>Sex</w:t>
            </w:r>
          </w:p>
        </w:tc>
        <w:tc>
          <w:tcPr>
            <w:tcW w:w="850" w:type="dxa"/>
          </w:tcPr>
          <w:p w14:paraId="1E1D0577" w14:textId="77777777" w:rsidR="002A453D" w:rsidRPr="009F6335" w:rsidRDefault="002A453D" w:rsidP="009F6335">
            <w:pPr>
              <w:spacing w:before="40" w:after="40"/>
              <w:jc w:val="center"/>
              <w:rPr>
                <w:rFonts w:asciiTheme="majorHAnsi" w:hAnsiTheme="majorHAnsi" w:cstheme="majorHAnsi"/>
                <w:sz w:val="12"/>
                <w:szCs w:val="12"/>
              </w:rPr>
            </w:pPr>
          </w:p>
        </w:tc>
        <w:tc>
          <w:tcPr>
            <w:tcW w:w="1417" w:type="dxa"/>
          </w:tcPr>
          <w:p w14:paraId="5A677547" w14:textId="77777777" w:rsidR="002A453D" w:rsidRPr="009F6335" w:rsidRDefault="002A453D" w:rsidP="009F6335">
            <w:pPr>
              <w:spacing w:before="40" w:after="40"/>
              <w:jc w:val="center"/>
              <w:rPr>
                <w:rFonts w:asciiTheme="majorHAnsi" w:hAnsiTheme="majorHAnsi" w:cstheme="majorHAnsi"/>
                <w:sz w:val="12"/>
                <w:szCs w:val="12"/>
              </w:rPr>
            </w:pPr>
          </w:p>
        </w:tc>
        <w:tc>
          <w:tcPr>
            <w:tcW w:w="1418" w:type="dxa"/>
          </w:tcPr>
          <w:p w14:paraId="4E0B16D5" w14:textId="77777777" w:rsidR="002A453D" w:rsidRPr="009F6335" w:rsidRDefault="002A453D" w:rsidP="009F6335">
            <w:pPr>
              <w:spacing w:before="40" w:after="40"/>
              <w:jc w:val="center"/>
              <w:rPr>
                <w:rFonts w:asciiTheme="majorHAnsi" w:hAnsiTheme="majorHAnsi" w:cstheme="majorHAnsi"/>
                <w:sz w:val="12"/>
                <w:szCs w:val="12"/>
              </w:rPr>
            </w:pPr>
          </w:p>
        </w:tc>
        <w:tc>
          <w:tcPr>
            <w:tcW w:w="1134" w:type="dxa"/>
          </w:tcPr>
          <w:p w14:paraId="1A77D4C1" w14:textId="77777777" w:rsidR="002A453D" w:rsidRPr="009F6335" w:rsidRDefault="002A453D" w:rsidP="009F6335">
            <w:pPr>
              <w:spacing w:before="40" w:after="40"/>
              <w:jc w:val="center"/>
              <w:rPr>
                <w:rFonts w:asciiTheme="majorHAnsi" w:hAnsiTheme="majorHAnsi" w:cstheme="majorHAnsi"/>
                <w:sz w:val="12"/>
                <w:szCs w:val="12"/>
              </w:rPr>
            </w:pPr>
          </w:p>
        </w:tc>
        <w:tc>
          <w:tcPr>
            <w:tcW w:w="1417" w:type="dxa"/>
          </w:tcPr>
          <w:p w14:paraId="0229AEC2" w14:textId="77777777" w:rsidR="002A453D" w:rsidRPr="009F6335" w:rsidRDefault="002A453D" w:rsidP="009F6335">
            <w:pPr>
              <w:spacing w:before="40" w:after="40"/>
              <w:jc w:val="center"/>
              <w:rPr>
                <w:rFonts w:asciiTheme="majorHAnsi" w:hAnsiTheme="majorHAnsi" w:cstheme="majorHAnsi"/>
                <w:sz w:val="12"/>
                <w:szCs w:val="12"/>
              </w:rPr>
            </w:pPr>
          </w:p>
        </w:tc>
        <w:tc>
          <w:tcPr>
            <w:tcW w:w="1419" w:type="dxa"/>
          </w:tcPr>
          <w:p w14:paraId="1421F643" w14:textId="77777777" w:rsidR="002A453D" w:rsidRPr="009F6335" w:rsidRDefault="002A453D" w:rsidP="009F6335">
            <w:pPr>
              <w:spacing w:before="40" w:after="40"/>
              <w:jc w:val="center"/>
              <w:rPr>
                <w:rFonts w:asciiTheme="majorHAnsi" w:hAnsiTheme="majorHAnsi" w:cstheme="majorHAnsi"/>
                <w:sz w:val="12"/>
                <w:szCs w:val="12"/>
              </w:rPr>
            </w:pPr>
          </w:p>
        </w:tc>
        <w:tc>
          <w:tcPr>
            <w:tcW w:w="850" w:type="dxa"/>
          </w:tcPr>
          <w:p w14:paraId="75F11B24" w14:textId="77777777" w:rsidR="002A453D" w:rsidRPr="009F6335" w:rsidRDefault="002A453D" w:rsidP="009F6335">
            <w:pPr>
              <w:spacing w:before="40" w:after="40"/>
              <w:jc w:val="center"/>
              <w:rPr>
                <w:rFonts w:asciiTheme="majorHAnsi" w:hAnsiTheme="majorHAnsi" w:cstheme="majorHAnsi"/>
                <w:sz w:val="12"/>
                <w:szCs w:val="12"/>
              </w:rPr>
            </w:pPr>
          </w:p>
        </w:tc>
        <w:tc>
          <w:tcPr>
            <w:tcW w:w="1417" w:type="dxa"/>
          </w:tcPr>
          <w:p w14:paraId="3DAB2AC4" w14:textId="77777777" w:rsidR="002A453D" w:rsidRPr="009F6335" w:rsidRDefault="002A453D" w:rsidP="009F6335">
            <w:pPr>
              <w:spacing w:before="40" w:after="40"/>
              <w:jc w:val="center"/>
              <w:rPr>
                <w:rFonts w:asciiTheme="majorHAnsi" w:hAnsiTheme="majorHAnsi" w:cstheme="majorHAnsi"/>
                <w:sz w:val="12"/>
                <w:szCs w:val="12"/>
              </w:rPr>
            </w:pPr>
          </w:p>
        </w:tc>
        <w:tc>
          <w:tcPr>
            <w:tcW w:w="1418" w:type="dxa"/>
          </w:tcPr>
          <w:p w14:paraId="6A947040" w14:textId="77777777" w:rsidR="002A453D" w:rsidRPr="009F6335" w:rsidRDefault="002A453D" w:rsidP="009F6335">
            <w:pPr>
              <w:spacing w:before="40" w:after="40"/>
              <w:jc w:val="center"/>
              <w:rPr>
                <w:rFonts w:asciiTheme="majorHAnsi" w:hAnsiTheme="majorHAnsi" w:cstheme="majorHAnsi"/>
                <w:sz w:val="12"/>
                <w:szCs w:val="12"/>
              </w:rPr>
            </w:pPr>
          </w:p>
        </w:tc>
      </w:tr>
      <w:tr w:rsidR="009F6335" w:rsidRPr="009F6335" w14:paraId="6C19BFBB" w14:textId="77777777" w:rsidTr="009F6335">
        <w:trPr>
          <w:cantSplit/>
          <w:jc w:val="center"/>
        </w:trPr>
        <w:tc>
          <w:tcPr>
            <w:tcW w:w="2268" w:type="dxa"/>
          </w:tcPr>
          <w:p w14:paraId="04FBA144" w14:textId="77777777" w:rsidR="002A453D" w:rsidRPr="009F6335" w:rsidRDefault="002A453D" w:rsidP="009F6335">
            <w:pPr>
              <w:spacing w:before="40" w:after="40"/>
              <w:rPr>
                <w:rFonts w:asciiTheme="majorHAnsi" w:hAnsiTheme="majorHAnsi" w:cstheme="majorHAnsi"/>
                <w:bCs/>
                <w:sz w:val="12"/>
                <w:szCs w:val="12"/>
              </w:rPr>
            </w:pPr>
            <w:r w:rsidRPr="009F6335">
              <w:rPr>
                <w:rFonts w:asciiTheme="majorHAnsi" w:hAnsiTheme="majorHAnsi" w:cstheme="majorHAnsi"/>
                <w:sz w:val="12"/>
                <w:szCs w:val="12"/>
              </w:rPr>
              <w:t xml:space="preserve">Female </w:t>
            </w:r>
          </w:p>
        </w:tc>
        <w:tc>
          <w:tcPr>
            <w:tcW w:w="850" w:type="dxa"/>
          </w:tcPr>
          <w:p w14:paraId="44665B1C" w14:textId="24245275" w:rsidR="002A453D" w:rsidRPr="009F6335" w:rsidRDefault="002A453D" w:rsidP="005F1049">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58 (</w:t>
            </w:r>
            <w:r w:rsidR="005F1049">
              <w:rPr>
                <w:rFonts w:asciiTheme="majorHAnsi" w:hAnsiTheme="majorHAnsi" w:cstheme="majorHAnsi"/>
                <w:sz w:val="12"/>
                <w:szCs w:val="12"/>
              </w:rPr>
              <w:t>40</w:t>
            </w:r>
            <w:r w:rsidRPr="009F6335">
              <w:rPr>
                <w:rFonts w:asciiTheme="majorHAnsi" w:hAnsiTheme="majorHAnsi" w:cstheme="majorHAnsi"/>
                <w:sz w:val="12"/>
                <w:szCs w:val="12"/>
              </w:rPr>
              <w:t>%)</w:t>
            </w:r>
          </w:p>
        </w:tc>
        <w:tc>
          <w:tcPr>
            <w:tcW w:w="1417" w:type="dxa"/>
          </w:tcPr>
          <w:p w14:paraId="25C21DDC" w14:textId="07D5F8F4"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0.31 (0.23–0.39)</w:t>
            </w:r>
          </w:p>
        </w:tc>
        <w:tc>
          <w:tcPr>
            <w:tcW w:w="1418" w:type="dxa"/>
          </w:tcPr>
          <w:p w14:paraId="5DDDB113" w14:textId="71551185"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0.6 (0.5–0.9)</w:t>
            </w:r>
          </w:p>
        </w:tc>
        <w:tc>
          <w:tcPr>
            <w:tcW w:w="1134" w:type="dxa"/>
          </w:tcPr>
          <w:p w14:paraId="1CDF025E" w14:textId="77777777"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3787 (56.0%)</w:t>
            </w:r>
          </w:p>
        </w:tc>
        <w:tc>
          <w:tcPr>
            <w:tcW w:w="1417" w:type="dxa"/>
          </w:tcPr>
          <w:p w14:paraId="326A892C" w14:textId="4E41B76A"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11.1 (10.7–11.4)</w:t>
            </w:r>
          </w:p>
        </w:tc>
        <w:tc>
          <w:tcPr>
            <w:tcW w:w="1419" w:type="dxa"/>
          </w:tcPr>
          <w:p w14:paraId="435DA168" w14:textId="355757D4" w:rsidR="002A453D" w:rsidRPr="009F6335" w:rsidRDefault="002A453D" w:rsidP="009F6335">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1.3 (1.2–1.4)</w:t>
            </w:r>
          </w:p>
        </w:tc>
        <w:tc>
          <w:tcPr>
            <w:tcW w:w="850" w:type="dxa"/>
          </w:tcPr>
          <w:p w14:paraId="7A05FCBA" w14:textId="77777777"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669 (64.1%)</w:t>
            </w:r>
          </w:p>
        </w:tc>
        <w:tc>
          <w:tcPr>
            <w:tcW w:w="1417" w:type="dxa"/>
          </w:tcPr>
          <w:p w14:paraId="52BD65A1" w14:textId="274F91AD"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 xml:space="preserve">2.06 (1.91– </w:t>
            </w:r>
            <w:r w:rsidR="000A26D6">
              <w:rPr>
                <w:rFonts w:asciiTheme="majorHAnsi" w:hAnsiTheme="majorHAnsi" w:cstheme="majorHAnsi"/>
                <w:sz w:val="12"/>
                <w:szCs w:val="12"/>
              </w:rPr>
              <w:t>2</w:t>
            </w:r>
            <w:r w:rsidRPr="009F6335">
              <w:rPr>
                <w:rFonts w:asciiTheme="majorHAnsi" w:hAnsiTheme="majorHAnsi" w:cstheme="majorHAnsi"/>
                <w:sz w:val="12"/>
                <w:szCs w:val="12"/>
              </w:rPr>
              <w:t>.23)</w:t>
            </w:r>
          </w:p>
        </w:tc>
        <w:tc>
          <w:tcPr>
            <w:tcW w:w="1418" w:type="dxa"/>
          </w:tcPr>
          <w:p w14:paraId="194E4E2C" w14:textId="42935A55"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1.8 (1.6–2.1)</w:t>
            </w:r>
          </w:p>
        </w:tc>
      </w:tr>
      <w:tr w:rsidR="009F6335" w:rsidRPr="009F6335" w14:paraId="3C030A7C" w14:textId="77777777" w:rsidTr="009F6335">
        <w:trPr>
          <w:cantSplit/>
          <w:jc w:val="center"/>
        </w:trPr>
        <w:tc>
          <w:tcPr>
            <w:tcW w:w="2268" w:type="dxa"/>
          </w:tcPr>
          <w:p w14:paraId="32DD494B" w14:textId="77777777" w:rsidR="002A453D" w:rsidRPr="009F6335" w:rsidRDefault="002A453D" w:rsidP="009F6335">
            <w:pPr>
              <w:spacing w:before="40" w:after="40"/>
              <w:rPr>
                <w:rFonts w:asciiTheme="majorHAnsi" w:hAnsiTheme="majorHAnsi" w:cstheme="majorHAnsi"/>
                <w:sz w:val="12"/>
                <w:szCs w:val="12"/>
              </w:rPr>
            </w:pPr>
            <w:r w:rsidRPr="009F6335">
              <w:rPr>
                <w:rFonts w:asciiTheme="majorHAnsi" w:hAnsiTheme="majorHAnsi" w:cstheme="majorHAnsi"/>
                <w:sz w:val="12"/>
                <w:szCs w:val="12"/>
              </w:rPr>
              <w:t xml:space="preserve">Male </w:t>
            </w:r>
          </w:p>
        </w:tc>
        <w:tc>
          <w:tcPr>
            <w:tcW w:w="850" w:type="dxa"/>
          </w:tcPr>
          <w:p w14:paraId="6E518C7F" w14:textId="54F4F234" w:rsidR="002A453D" w:rsidRPr="009F6335" w:rsidRDefault="002A453D" w:rsidP="005F1049">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88 (60%)</w:t>
            </w:r>
          </w:p>
        </w:tc>
        <w:tc>
          <w:tcPr>
            <w:tcW w:w="1417" w:type="dxa"/>
          </w:tcPr>
          <w:p w14:paraId="4987E490" w14:textId="7617BE49"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0.48 (0.38–0.59)</w:t>
            </w:r>
          </w:p>
        </w:tc>
        <w:tc>
          <w:tcPr>
            <w:tcW w:w="1418" w:type="dxa"/>
          </w:tcPr>
          <w:p w14:paraId="3FDD0D99" w14:textId="661BE2DF" w:rsidR="002A453D" w:rsidRPr="009F6335" w:rsidRDefault="002A453D" w:rsidP="009F6335">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1</w:t>
            </w:r>
          </w:p>
        </w:tc>
        <w:tc>
          <w:tcPr>
            <w:tcW w:w="1134" w:type="dxa"/>
          </w:tcPr>
          <w:p w14:paraId="1E5F6DD7" w14:textId="77777777"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2971 (44.0%)</w:t>
            </w:r>
          </w:p>
        </w:tc>
        <w:tc>
          <w:tcPr>
            <w:tcW w:w="1417" w:type="dxa"/>
          </w:tcPr>
          <w:p w14:paraId="4E05A0FA" w14:textId="0361DD94"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8.5 (8.2–8.8)</w:t>
            </w:r>
          </w:p>
        </w:tc>
        <w:tc>
          <w:tcPr>
            <w:tcW w:w="1419" w:type="dxa"/>
          </w:tcPr>
          <w:p w14:paraId="41756B6C" w14:textId="5BFB6E48" w:rsidR="002A453D" w:rsidRPr="009F6335" w:rsidRDefault="002A453D" w:rsidP="009F6335">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1</w:t>
            </w:r>
          </w:p>
        </w:tc>
        <w:tc>
          <w:tcPr>
            <w:tcW w:w="850" w:type="dxa"/>
          </w:tcPr>
          <w:p w14:paraId="50A6F75C" w14:textId="77777777"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373 (35.8%)</w:t>
            </w:r>
          </w:p>
        </w:tc>
        <w:tc>
          <w:tcPr>
            <w:tcW w:w="1417" w:type="dxa"/>
          </w:tcPr>
          <w:p w14:paraId="306C5831" w14:textId="2F1AD13B"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1.12 (1.00–1.24)</w:t>
            </w:r>
          </w:p>
        </w:tc>
        <w:tc>
          <w:tcPr>
            <w:tcW w:w="1418" w:type="dxa"/>
          </w:tcPr>
          <w:p w14:paraId="1B378557" w14:textId="0CEAFB4D" w:rsidR="002A453D" w:rsidRPr="009F6335" w:rsidRDefault="002A453D" w:rsidP="009F6335">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1</w:t>
            </w:r>
          </w:p>
        </w:tc>
      </w:tr>
      <w:tr w:rsidR="009F6335" w:rsidRPr="009F6335" w14:paraId="174D395B" w14:textId="77777777" w:rsidTr="009F6335">
        <w:trPr>
          <w:cantSplit/>
          <w:jc w:val="center"/>
        </w:trPr>
        <w:tc>
          <w:tcPr>
            <w:tcW w:w="2268" w:type="dxa"/>
          </w:tcPr>
          <w:p w14:paraId="5BB61382" w14:textId="77777777" w:rsidR="002A453D" w:rsidRPr="009F6335" w:rsidRDefault="002A453D" w:rsidP="009F6335">
            <w:pPr>
              <w:spacing w:before="40" w:after="40"/>
              <w:rPr>
                <w:rFonts w:asciiTheme="majorHAnsi" w:hAnsiTheme="majorHAnsi" w:cstheme="majorHAnsi"/>
                <w:sz w:val="12"/>
                <w:szCs w:val="12"/>
              </w:rPr>
            </w:pPr>
            <w:r w:rsidRPr="009F6335">
              <w:rPr>
                <w:rFonts w:asciiTheme="majorHAnsi" w:hAnsiTheme="majorHAnsi" w:cstheme="majorHAnsi"/>
                <w:sz w:val="12"/>
                <w:szCs w:val="12"/>
              </w:rPr>
              <w:t>Unknown</w:t>
            </w:r>
          </w:p>
        </w:tc>
        <w:tc>
          <w:tcPr>
            <w:tcW w:w="850" w:type="dxa"/>
          </w:tcPr>
          <w:p w14:paraId="7317419C" w14:textId="449ADEE6"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417" w:type="dxa"/>
          </w:tcPr>
          <w:p w14:paraId="5E3CE047" w14:textId="54DC85DD"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418" w:type="dxa"/>
          </w:tcPr>
          <w:p w14:paraId="7EA0DEEF" w14:textId="7BD2754A" w:rsidR="002A453D" w:rsidRPr="009F6335" w:rsidRDefault="002A453D" w:rsidP="009F6335">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w:t>
            </w:r>
          </w:p>
        </w:tc>
        <w:tc>
          <w:tcPr>
            <w:tcW w:w="1134" w:type="dxa"/>
          </w:tcPr>
          <w:p w14:paraId="7C9570E1" w14:textId="6794AFDC"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417" w:type="dxa"/>
          </w:tcPr>
          <w:p w14:paraId="0C1863E6" w14:textId="76C484F5"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419" w:type="dxa"/>
          </w:tcPr>
          <w:p w14:paraId="58B29FDF" w14:textId="301EF5CA" w:rsidR="002A453D" w:rsidRPr="009F6335" w:rsidRDefault="002A453D" w:rsidP="009F6335">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w:t>
            </w:r>
          </w:p>
        </w:tc>
        <w:tc>
          <w:tcPr>
            <w:tcW w:w="850" w:type="dxa"/>
          </w:tcPr>
          <w:p w14:paraId="57AC0A3F" w14:textId="608B3962"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 (0.1%)</w:t>
            </w:r>
          </w:p>
        </w:tc>
        <w:tc>
          <w:tcPr>
            <w:tcW w:w="1417" w:type="dxa"/>
          </w:tcPr>
          <w:p w14:paraId="7E1203BA" w14:textId="344CC0A0"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418" w:type="dxa"/>
          </w:tcPr>
          <w:p w14:paraId="0CE3B96D" w14:textId="67AAAEA7" w:rsidR="002A453D" w:rsidRPr="009F6335" w:rsidRDefault="002A453D" w:rsidP="009F6335">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w:t>
            </w:r>
          </w:p>
        </w:tc>
      </w:tr>
      <w:tr w:rsidR="009F6335" w:rsidRPr="009F6335" w14:paraId="12DAF379" w14:textId="77777777" w:rsidTr="009F6335">
        <w:trPr>
          <w:cantSplit/>
          <w:jc w:val="center"/>
        </w:trPr>
        <w:tc>
          <w:tcPr>
            <w:tcW w:w="2268" w:type="dxa"/>
          </w:tcPr>
          <w:p w14:paraId="2083B25B" w14:textId="3AB2AD45" w:rsidR="002A453D" w:rsidRPr="00DD0452" w:rsidRDefault="002A453D" w:rsidP="009F6335">
            <w:pPr>
              <w:spacing w:before="40" w:after="40"/>
              <w:rPr>
                <w:rFonts w:asciiTheme="majorHAnsi" w:hAnsiTheme="majorHAnsi" w:cstheme="majorHAnsi"/>
                <w:b/>
                <w:sz w:val="12"/>
                <w:szCs w:val="12"/>
              </w:rPr>
            </w:pPr>
            <w:r w:rsidRPr="00DD0452">
              <w:rPr>
                <w:rFonts w:asciiTheme="majorHAnsi" w:hAnsiTheme="majorHAnsi" w:cstheme="majorHAnsi"/>
                <w:b/>
                <w:bCs/>
                <w:sz w:val="12"/>
                <w:szCs w:val="12"/>
              </w:rPr>
              <w:t>Indigenous Australians</w:t>
            </w:r>
          </w:p>
        </w:tc>
        <w:tc>
          <w:tcPr>
            <w:tcW w:w="850" w:type="dxa"/>
          </w:tcPr>
          <w:p w14:paraId="775E1A88" w14:textId="77777777" w:rsidR="002A453D" w:rsidRPr="009F6335" w:rsidRDefault="002A453D" w:rsidP="009F6335">
            <w:pPr>
              <w:spacing w:before="40" w:after="40"/>
              <w:jc w:val="center"/>
              <w:rPr>
                <w:rFonts w:asciiTheme="majorHAnsi" w:hAnsiTheme="majorHAnsi" w:cstheme="majorHAnsi"/>
                <w:sz w:val="12"/>
                <w:szCs w:val="12"/>
              </w:rPr>
            </w:pPr>
          </w:p>
        </w:tc>
        <w:tc>
          <w:tcPr>
            <w:tcW w:w="1417" w:type="dxa"/>
          </w:tcPr>
          <w:p w14:paraId="702CCC90" w14:textId="77777777" w:rsidR="002A453D" w:rsidRPr="009F6335" w:rsidRDefault="002A453D" w:rsidP="009F6335">
            <w:pPr>
              <w:spacing w:before="40" w:after="40"/>
              <w:jc w:val="center"/>
              <w:rPr>
                <w:rFonts w:asciiTheme="majorHAnsi" w:hAnsiTheme="majorHAnsi" w:cstheme="majorHAnsi"/>
                <w:sz w:val="12"/>
                <w:szCs w:val="12"/>
              </w:rPr>
            </w:pPr>
          </w:p>
        </w:tc>
        <w:tc>
          <w:tcPr>
            <w:tcW w:w="1418" w:type="dxa"/>
          </w:tcPr>
          <w:p w14:paraId="01B0A594" w14:textId="77777777" w:rsidR="002A453D" w:rsidRPr="009F6335" w:rsidRDefault="002A453D" w:rsidP="009F6335">
            <w:pPr>
              <w:spacing w:before="40" w:after="40"/>
              <w:jc w:val="center"/>
              <w:rPr>
                <w:rFonts w:asciiTheme="majorHAnsi" w:hAnsiTheme="majorHAnsi" w:cstheme="majorHAnsi"/>
                <w:sz w:val="12"/>
                <w:szCs w:val="12"/>
              </w:rPr>
            </w:pPr>
          </w:p>
        </w:tc>
        <w:tc>
          <w:tcPr>
            <w:tcW w:w="1134" w:type="dxa"/>
          </w:tcPr>
          <w:p w14:paraId="70CCDC94" w14:textId="77777777" w:rsidR="002A453D" w:rsidRPr="009F6335" w:rsidRDefault="002A453D" w:rsidP="009F6335">
            <w:pPr>
              <w:spacing w:before="40" w:after="40"/>
              <w:jc w:val="center"/>
              <w:rPr>
                <w:rFonts w:asciiTheme="majorHAnsi" w:hAnsiTheme="majorHAnsi" w:cstheme="majorHAnsi"/>
                <w:sz w:val="12"/>
                <w:szCs w:val="12"/>
              </w:rPr>
            </w:pPr>
          </w:p>
        </w:tc>
        <w:tc>
          <w:tcPr>
            <w:tcW w:w="1417" w:type="dxa"/>
          </w:tcPr>
          <w:p w14:paraId="7E371459" w14:textId="77777777" w:rsidR="002A453D" w:rsidRPr="009F6335" w:rsidRDefault="002A453D" w:rsidP="009F6335">
            <w:pPr>
              <w:spacing w:before="40" w:after="40"/>
              <w:jc w:val="center"/>
              <w:rPr>
                <w:rFonts w:asciiTheme="majorHAnsi" w:hAnsiTheme="majorHAnsi" w:cstheme="majorHAnsi"/>
                <w:sz w:val="12"/>
                <w:szCs w:val="12"/>
              </w:rPr>
            </w:pPr>
          </w:p>
        </w:tc>
        <w:tc>
          <w:tcPr>
            <w:tcW w:w="1419" w:type="dxa"/>
          </w:tcPr>
          <w:p w14:paraId="2214918C" w14:textId="77777777" w:rsidR="002A453D" w:rsidRPr="009F6335" w:rsidRDefault="002A453D" w:rsidP="009F6335">
            <w:pPr>
              <w:spacing w:before="40" w:after="40"/>
              <w:jc w:val="center"/>
              <w:rPr>
                <w:rFonts w:asciiTheme="majorHAnsi" w:hAnsiTheme="majorHAnsi" w:cstheme="majorHAnsi"/>
                <w:sz w:val="12"/>
                <w:szCs w:val="12"/>
              </w:rPr>
            </w:pPr>
          </w:p>
        </w:tc>
        <w:tc>
          <w:tcPr>
            <w:tcW w:w="850" w:type="dxa"/>
          </w:tcPr>
          <w:p w14:paraId="0A205B0A" w14:textId="77777777" w:rsidR="002A453D" w:rsidRPr="009F6335" w:rsidRDefault="002A453D" w:rsidP="009F6335">
            <w:pPr>
              <w:spacing w:before="40" w:after="40"/>
              <w:jc w:val="center"/>
              <w:rPr>
                <w:rFonts w:asciiTheme="majorHAnsi" w:hAnsiTheme="majorHAnsi" w:cstheme="majorHAnsi"/>
                <w:sz w:val="12"/>
                <w:szCs w:val="12"/>
              </w:rPr>
            </w:pPr>
          </w:p>
        </w:tc>
        <w:tc>
          <w:tcPr>
            <w:tcW w:w="1417" w:type="dxa"/>
          </w:tcPr>
          <w:p w14:paraId="1651446F" w14:textId="77777777" w:rsidR="002A453D" w:rsidRPr="009F6335" w:rsidRDefault="002A453D" w:rsidP="009F6335">
            <w:pPr>
              <w:spacing w:before="40" w:after="40"/>
              <w:jc w:val="center"/>
              <w:rPr>
                <w:rFonts w:asciiTheme="majorHAnsi" w:hAnsiTheme="majorHAnsi" w:cstheme="majorHAnsi"/>
                <w:sz w:val="12"/>
                <w:szCs w:val="12"/>
              </w:rPr>
            </w:pPr>
          </w:p>
        </w:tc>
        <w:tc>
          <w:tcPr>
            <w:tcW w:w="1418" w:type="dxa"/>
          </w:tcPr>
          <w:p w14:paraId="46BB19D6" w14:textId="77777777" w:rsidR="002A453D" w:rsidRPr="009F6335" w:rsidRDefault="002A453D" w:rsidP="009F6335">
            <w:pPr>
              <w:spacing w:before="40" w:after="40"/>
              <w:jc w:val="center"/>
              <w:rPr>
                <w:rFonts w:asciiTheme="majorHAnsi" w:hAnsiTheme="majorHAnsi" w:cstheme="majorHAnsi"/>
                <w:sz w:val="12"/>
                <w:szCs w:val="12"/>
              </w:rPr>
            </w:pPr>
          </w:p>
        </w:tc>
      </w:tr>
      <w:tr w:rsidR="009F6335" w:rsidRPr="009F6335" w14:paraId="32870E6D" w14:textId="77777777" w:rsidTr="009F6335">
        <w:trPr>
          <w:cantSplit/>
          <w:jc w:val="center"/>
        </w:trPr>
        <w:tc>
          <w:tcPr>
            <w:tcW w:w="2268" w:type="dxa"/>
          </w:tcPr>
          <w:p w14:paraId="610F8D32" w14:textId="77777777" w:rsidR="002A453D" w:rsidRPr="009F6335" w:rsidRDefault="002A453D" w:rsidP="009F6335">
            <w:pPr>
              <w:spacing w:before="40" w:after="40"/>
              <w:rPr>
                <w:rFonts w:asciiTheme="majorHAnsi" w:hAnsiTheme="majorHAnsi" w:cstheme="majorHAnsi"/>
                <w:bCs/>
                <w:sz w:val="12"/>
                <w:szCs w:val="12"/>
              </w:rPr>
            </w:pPr>
            <w:r w:rsidRPr="009F6335">
              <w:rPr>
                <w:rFonts w:asciiTheme="majorHAnsi" w:hAnsiTheme="majorHAnsi" w:cstheme="majorHAnsi"/>
                <w:sz w:val="12"/>
                <w:szCs w:val="12"/>
              </w:rPr>
              <w:t xml:space="preserve">Yes </w:t>
            </w:r>
          </w:p>
        </w:tc>
        <w:tc>
          <w:tcPr>
            <w:tcW w:w="850" w:type="dxa"/>
          </w:tcPr>
          <w:p w14:paraId="2CA8A0F7" w14:textId="1B610915" w:rsidR="002A453D" w:rsidRPr="009F6335" w:rsidRDefault="002A453D" w:rsidP="005F1049">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8 (</w:t>
            </w:r>
            <w:r w:rsidR="005F1049">
              <w:rPr>
                <w:rFonts w:asciiTheme="majorHAnsi" w:hAnsiTheme="majorHAnsi" w:cstheme="majorHAnsi"/>
                <w:sz w:val="12"/>
                <w:szCs w:val="12"/>
              </w:rPr>
              <w:t>6</w:t>
            </w:r>
            <w:r w:rsidRPr="009F6335">
              <w:rPr>
                <w:rFonts w:asciiTheme="majorHAnsi" w:hAnsiTheme="majorHAnsi" w:cstheme="majorHAnsi"/>
                <w:sz w:val="12"/>
                <w:szCs w:val="12"/>
              </w:rPr>
              <w:t>%)</w:t>
            </w:r>
          </w:p>
        </w:tc>
        <w:tc>
          <w:tcPr>
            <w:tcW w:w="1417" w:type="dxa"/>
          </w:tcPr>
          <w:p w14:paraId="5C33E97D" w14:textId="3E78F404"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1.83 (0.79–3.61)</w:t>
            </w:r>
          </w:p>
        </w:tc>
        <w:tc>
          <w:tcPr>
            <w:tcW w:w="1418" w:type="dxa"/>
          </w:tcPr>
          <w:p w14:paraId="351293CF" w14:textId="0A5A436B" w:rsidR="002A453D" w:rsidRPr="009F6335" w:rsidRDefault="002A453D" w:rsidP="005F1049">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4.9 (2.4–10)</w:t>
            </w:r>
          </w:p>
        </w:tc>
        <w:tc>
          <w:tcPr>
            <w:tcW w:w="1134" w:type="dxa"/>
          </w:tcPr>
          <w:p w14:paraId="24BD491D" w14:textId="77777777"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45 (0.7%)</w:t>
            </w:r>
          </w:p>
        </w:tc>
        <w:tc>
          <w:tcPr>
            <w:tcW w:w="1417" w:type="dxa"/>
          </w:tcPr>
          <w:p w14:paraId="0CAA9A01" w14:textId="10125024"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7.7 (5.6–10.3)</w:t>
            </w:r>
          </w:p>
        </w:tc>
        <w:tc>
          <w:tcPr>
            <w:tcW w:w="1419" w:type="dxa"/>
          </w:tcPr>
          <w:p w14:paraId="260E421C" w14:textId="76678237"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0.8 (0.6–1.1)</w:t>
            </w:r>
          </w:p>
        </w:tc>
        <w:tc>
          <w:tcPr>
            <w:tcW w:w="850" w:type="dxa"/>
          </w:tcPr>
          <w:p w14:paraId="0C0B00FF" w14:textId="4DA908A3"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417" w:type="dxa"/>
          </w:tcPr>
          <w:p w14:paraId="1D31DB6E" w14:textId="680F6C69"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418" w:type="dxa"/>
          </w:tcPr>
          <w:p w14:paraId="6A96B412" w14:textId="13EF3688"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r>
      <w:tr w:rsidR="009F6335" w:rsidRPr="009F6335" w14:paraId="15B176DC" w14:textId="77777777" w:rsidTr="009F6335">
        <w:trPr>
          <w:cantSplit/>
          <w:jc w:val="center"/>
        </w:trPr>
        <w:tc>
          <w:tcPr>
            <w:tcW w:w="2268" w:type="dxa"/>
          </w:tcPr>
          <w:p w14:paraId="0241370E" w14:textId="77777777" w:rsidR="002A453D" w:rsidRPr="009F6335" w:rsidRDefault="002A453D" w:rsidP="009F6335">
            <w:pPr>
              <w:spacing w:before="40" w:after="40"/>
              <w:rPr>
                <w:rFonts w:asciiTheme="majorHAnsi" w:hAnsiTheme="majorHAnsi" w:cstheme="majorHAnsi"/>
                <w:sz w:val="12"/>
                <w:szCs w:val="12"/>
              </w:rPr>
            </w:pPr>
            <w:r w:rsidRPr="009F6335">
              <w:rPr>
                <w:rFonts w:asciiTheme="majorHAnsi" w:hAnsiTheme="majorHAnsi" w:cstheme="majorHAnsi"/>
                <w:sz w:val="12"/>
                <w:szCs w:val="12"/>
              </w:rPr>
              <w:t xml:space="preserve">No </w:t>
            </w:r>
          </w:p>
        </w:tc>
        <w:tc>
          <w:tcPr>
            <w:tcW w:w="850" w:type="dxa"/>
          </w:tcPr>
          <w:p w14:paraId="1AE9C431" w14:textId="252E145A" w:rsidR="002A453D" w:rsidRPr="009F6335" w:rsidRDefault="002A453D" w:rsidP="005F1049">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138 (94%)</w:t>
            </w:r>
          </w:p>
        </w:tc>
        <w:tc>
          <w:tcPr>
            <w:tcW w:w="1417" w:type="dxa"/>
          </w:tcPr>
          <w:p w14:paraId="151856CF" w14:textId="030CE8E6"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0.37 (0.31–0.44)</w:t>
            </w:r>
          </w:p>
        </w:tc>
        <w:tc>
          <w:tcPr>
            <w:tcW w:w="1418" w:type="dxa"/>
          </w:tcPr>
          <w:p w14:paraId="2B5F0096" w14:textId="3BA4E253" w:rsidR="002A453D" w:rsidRPr="009F6335" w:rsidRDefault="002A453D" w:rsidP="009F6335">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1</w:t>
            </w:r>
          </w:p>
        </w:tc>
        <w:tc>
          <w:tcPr>
            <w:tcW w:w="1134" w:type="dxa"/>
          </w:tcPr>
          <w:p w14:paraId="76A64C16" w14:textId="77777777"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6586 (97.5%)</w:t>
            </w:r>
          </w:p>
        </w:tc>
        <w:tc>
          <w:tcPr>
            <w:tcW w:w="1417" w:type="dxa"/>
          </w:tcPr>
          <w:p w14:paraId="64C1E0C6" w14:textId="7F13F60D"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9.6 (9.4 –9.9)</w:t>
            </w:r>
          </w:p>
        </w:tc>
        <w:tc>
          <w:tcPr>
            <w:tcW w:w="1419" w:type="dxa"/>
          </w:tcPr>
          <w:p w14:paraId="2C93D2F5" w14:textId="607C84F9"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w:t>
            </w:r>
          </w:p>
        </w:tc>
        <w:tc>
          <w:tcPr>
            <w:tcW w:w="850" w:type="dxa"/>
          </w:tcPr>
          <w:p w14:paraId="3E10D0A7" w14:textId="3F1BC2BB"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417" w:type="dxa"/>
          </w:tcPr>
          <w:p w14:paraId="262173BB" w14:textId="5FC6887B"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418" w:type="dxa"/>
          </w:tcPr>
          <w:p w14:paraId="76F7A63D" w14:textId="6A1F822D"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r>
      <w:tr w:rsidR="009F6335" w:rsidRPr="009F6335" w14:paraId="2DEB1575" w14:textId="77777777" w:rsidTr="009F6335">
        <w:trPr>
          <w:cantSplit/>
          <w:jc w:val="center"/>
        </w:trPr>
        <w:tc>
          <w:tcPr>
            <w:tcW w:w="2268" w:type="dxa"/>
          </w:tcPr>
          <w:p w14:paraId="5429A3C5" w14:textId="77777777" w:rsidR="002A453D" w:rsidRPr="009F6335" w:rsidRDefault="002A453D" w:rsidP="009F6335">
            <w:pPr>
              <w:spacing w:before="40" w:after="40"/>
              <w:rPr>
                <w:rFonts w:asciiTheme="majorHAnsi" w:hAnsiTheme="majorHAnsi" w:cstheme="majorHAnsi"/>
                <w:sz w:val="12"/>
                <w:szCs w:val="12"/>
              </w:rPr>
            </w:pPr>
            <w:r w:rsidRPr="009F6335">
              <w:rPr>
                <w:rFonts w:asciiTheme="majorHAnsi" w:hAnsiTheme="majorHAnsi" w:cstheme="majorHAnsi"/>
                <w:sz w:val="12"/>
                <w:szCs w:val="12"/>
              </w:rPr>
              <w:t>Unknown</w:t>
            </w:r>
          </w:p>
        </w:tc>
        <w:tc>
          <w:tcPr>
            <w:tcW w:w="850" w:type="dxa"/>
          </w:tcPr>
          <w:p w14:paraId="5C7CB234" w14:textId="5F276A4B"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417" w:type="dxa"/>
          </w:tcPr>
          <w:p w14:paraId="36CD5579" w14:textId="6F068947"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418" w:type="dxa"/>
          </w:tcPr>
          <w:p w14:paraId="196DA6DC" w14:textId="2908A9FE" w:rsidR="002A453D" w:rsidRPr="009F6335" w:rsidRDefault="002A453D" w:rsidP="009F6335">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w:t>
            </w:r>
          </w:p>
        </w:tc>
        <w:tc>
          <w:tcPr>
            <w:tcW w:w="1134" w:type="dxa"/>
          </w:tcPr>
          <w:p w14:paraId="1EA70F94" w14:textId="77777777"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127 (1.9%)</w:t>
            </w:r>
          </w:p>
        </w:tc>
        <w:tc>
          <w:tcPr>
            <w:tcW w:w="1417" w:type="dxa"/>
          </w:tcPr>
          <w:p w14:paraId="0A0D6973" w14:textId="4B045D81"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419" w:type="dxa"/>
          </w:tcPr>
          <w:p w14:paraId="0996869D" w14:textId="409FB098"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850" w:type="dxa"/>
          </w:tcPr>
          <w:p w14:paraId="6EB6FA31" w14:textId="50799140"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417" w:type="dxa"/>
          </w:tcPr>
          <w:p w14:paraId="7CA91CBD" w14:textId="5AFA8DDF"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418" w:type="dxa"/>
          </w:tcPr>
          <w:p w14:paraId="37BECDD4" w14:textId="730DECD5" w:rsidR="002A453D" w:rsidRPr="009F6335" w:rsidRDefault="002A453D" w:rsidP="009F6335">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r>
      <w:tr w:rsidR="00DD0452" w:rsidRPr="009F6335" w14:paraId="3B0CAFFF" w14:textId="77777777" w:rsidTr="009F6335">
        <w:trPr>
          <w:cantSplit/>
          <w:jc w:val="center"/>
        </w:trPr>
        <w:tc>
          <w:tcPr>
            <w:tcW w:w="2268" w:type="dxa"/>
          </w:tcPr>
          <w:p w14:paraId="0F7CA522" w14:textId="2F9B8D11" w:rsidR="00DD0452" w:rsidRPr="00DD0452" w:rsidRDefault="00DD0452" w:rsidP="00DD0452">
            <w:pPr>
              <w:spacing w:before="40" w:after="40"/>
              <w:rPr>
                <w:rFonts w:asciiTheme="majorHAnsi" w:hAnsiTheme="majorHAnsi" w:cstheme="majorHAnsi"/>
                <w:b/>
                <w:sz w:val="12"/>
                <w:szCs w:val="12"/>
              </w:rPr>
            </w:pPr>
            <w:r w:rsidRPr="00DD0452">
              <w:rPr>
                <w:rFonts w:asciiTheme="majorHAnsi" w:hAnsiTheme="majorHAnsi" w:cstheme="majorHAnsi"/>
                <w:b/>
                <w:bCs/>
                <w:sz w:val="12"/>
                <w:szCs w:val="12"/>
              </w:rPr>
              <w:t>Indigenous Australians under 40 years of age</w:t>
            </w:r>
          </w:p>
        </w:tc>
        <w:tc>
          <w:tcPr>
            <w:tcW w:w="850" w:type="dxa"/>
          </w:tcPr>
          <w:p w14:paraId="3BD7CFB6" w14:textId="77777777" w:rsidR="00DD0452" w:rsidRPr="009F6335" w:rsidRDefault="00DD0452" w:rsidP="00DD0452">
            <w:pPr>
              <w:spacing w:before="40" w:after="40"/>
              <w:jc w:val="center"/>
              <w:rPr>
                <w:rFonts w:asciiTheme="majorHAnsi" w:hAnsiTheme="majorHAnsi" w:cstheme="majorHAnsi"/>
                <w:sz w:val="12"/>
                <w:szCs w:val="12"/>
              </w:rPr>
            </w:pPr>
          </w:p>
        </w:tc>
        <w:tc>
          <w:tcPr>
            <w:tcW w:w="1417" w:type="dxa"/>
          </w:tcPr>
          <w:p w14:paraId="61484218" w14:textId="77777777" w:rsidR="00DD0452" w:rsidRPr="009F6335" w:rsidRDefault="00DD0452" w:rsidP="00DD0452">
            <w:pPr>
              <w:spacing w:before="40" w:after="40"/>
              <w:jc w:val="center"/>
              <w:rPr>
                <w:rFonts w:asciiTheme="majorHAnsi" w:hAnsiTheme="majorHAnsi" w:cstheme="majorHAnsi"/>
                <w:sz w:val="12"/>
                <w:szCs w:val="12"/>
              </w:rPr>
            </w:pPr>
          </w:p>
        </w:tc>
        <w:tc>
          <w:tcPr>
            <w:tcW w:w="1418" w:type="dxa"/>
          </w:tcPr>
          <w:p w14:paraId="2C1C8FC7" w14:textId="77777777" w:rsidR="00DD0452" w:rsidRPr="009F6335" w:rsidRDefault="00DD0452" w:rsidP="00DD0452">
            <w:pPr>
              <w:spacing w:before="40" w:after="40"/>
              <w:jc w:val="center"/>
              <w:rPr>
                <w:rFonts w:asciiTheme="majorHAnsi" w:hAnsiTheme="majorHAnsi" w:cstheme="majorHAnsi"/>
                <w:sz w:val="12"/>
                <w:szCs w:val="12"/>
              </w:rPr>
            </w:pPr>
          </w:p>
        </w:tc>
        <w:tc>
          <w:tcPr>
            <w:tcW w:w="1134" w:type="dxa"/>
          </w:tcPr>
          <w:p w14:paraId="5EC47ED6" w14:textId="38D89AA1" w:rsidR="00DD0452" w:rsidRPr="009F6335" w:rsidRDefault="00DD0452" w:rsidP="00DD0452">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428</w:t>
            </w:r>
          </w:p>
        </w:tc>
        <w:tc>
          <w:tcPr>
            <w:tcW w:w="1417" w:type="dxa"/>
          </w:tcPr>
          <w:p w14:paraId="3342C4C4" w14:textId="3580D511" w:rsidR="00DD0452" w:rsidRPr="009F6335" w:rsidRDefault="004C0F7C" w:rsidP="00573EBD">
            <w:pPr>
              <w:spacing w:before="40" w:after="40"/>
              <w:jc w:val="center"/>
              <w:rPr>
                <w:rFonts w:asciiTheme="majorHAnsi" w:hAnsiTheme="majorHAnsi" w:cstheme="majorHAnsi"/>
                <w:sz w:val="12"/>
                <w:szCs w:val="12"/>
              </w:rPr>
            </w:pPr>
            <w:r>
              <w:rPr>
                <w:rFonts w:asciiTheme="majorHAnsi" w:hAnsiTheme="majorHAnsi" w:cstheme="majorHAnsi"/>
                <w:sz w:val="12"/>
                <w:szCs w:val="12"/>
              </w:rPr>
              <w:t>1.</w:t>
            </w:r>
            <w:r w:rsidR="00EC6E57">
              <w:rPr>
                <w:rFonts w:asciiTheme="majorHAnsi" w:hAnsiTheme="majorHAnsi" w:cstheme="majorHAnsi"/>
                <w:sz w:val="12"/>
                <w:szCs w:val="12"/>
              </w:rPr>
              <w:t>2 (1.0</w:t>
            </w:r>
            <w:r w:rsidR="00573EBD">
              <w:rPr>
                <w:rFonts w:asciiTheme="majorHAnsi" w:hAnsiTheme="majorHAnsi" w:cstheme="majorHAnsi"/>
                <w:sz w:val="12"/>
                <w:szCs w:val="12"/>
              </w:rPr>
              <w:t>‒</w:t>
            </w:r>
            <w:r w:rsidR="00EC6E57">
              <w:rPr>
                <w:rFonts w:asciiTheme="majorHAnsi" w:hAnsiTheme="majorHAnsi" w:cstheme="majorHAnsi"/>
                <w:sz w:val="12"/>
                <w:szCs w:val="12"/>
              </w:rPr>
              <w:t>1.3)</w:t>
            </w:r>
          </w:p>
        </w:tc>
        <w:tc>
          <w:tcPr>
            <w:tcW w:w="1419" w:type="dxa"/>
          </w:tcPr>
          <w:p w14:paraId="238351B2" w14:textId="636115A3" w:rsidR="00DD0452" w:rsidRPr="009F6335" w:rsidRDefault="00DD0452" w:rsidP="00DD0452">
            <w:pPr>
              <w:spacing w:before="40" w:after="40"/>
              <w:jc w:val="center"/>
              <w:rPr>
                <w:rFonts w:asciiTheme="majorHAnsi" w:hAnsiTheme="majorHAnsi" w:cstheme="majorHAnsi"/>
                <w:sz w:val="12"/>
                <w:szCs w:val="12"/>
              </w:rPr>
            </w:pPr>
            <w:r>
              <w:rPr>
                <w:rFonts w:asciiTheme="majorHAnsi" w:hAnsiTheme="majorHAnsi" w:cstheme="majorHAnsi"/>
                <w:sz w:val="12"/>
                <w:szCs w:val="12"/>
              </w:rPr>
              <w:t>—</w:t>
            </w:r>
          </w:p>
        </w:tc>
        <w:tc>
          <w:tcPr>
            <w:tcW w:w="850" w:type="dxa"/>
          </w:tcPr>
          <w:p w14:paraId="7FE1DFDE" w14:textId="40A4CF59" w:rsidR="00DD0452" w:rsidRPr="009F6335" w:rsidRDefault="00DD0452" w:rsidP="00DD0452">
            <w:pPr>
              <w:spacing w:before="40" w:after="40"/>
              <w:jc w:val="center"/>
              <w:rPr>
                <w:rFonts w:asciiTheme="majorHAnsi" w:hAnsiTheme="majorHAnsi" w:cstheme="majorHAnsi"/>
                <w:sz w:val="12"/>
                <w:szCs w:val="12"/>
              </w:rPr>
            </w:pPr>
            <w:r w:rsidRPr="009F6335">
              <w:rPr>
                <w:rFonts w:asciiTheme="majorHAnsi" w:hAnsiTheme="majorHAnsi" w:cstheme="majorHAnsi"/>
                <w:bCs/>
                <w:sz w:val="12"/>
                <w:szCs w:val="12"/>
              </w:rPr>
              <w:t>0</w:t>
            </w:r>
          </w:p>
        </w:tc>
        <w:tc>
          <w:tcPr>
            <w:tcW w:w="1417" w:type="dxa"/>
          </w:tcPr>
          <w:p w14:paraId="17564F6C" w14:textId="0DB3602D" w:rsidR="00DD0452" w:rsidRPr="009F6335" w:rsidRDefault="00DD0452" w:rsidP="00DD0452">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418" w:type="dxa"/>
          </w:tcPr>
          <w:p w14:paraId="65319ACE" w14:textId="357D65D5" w:rsidR="00DD0452" w:rsidRPr="009F6335" w:rsidRDefault="00DD0452" w:rsidP="00DD0452">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r>
      <w:tr w:rsidR="00DD0452" w:rsidRPr="009F6335" w14:paraId="4D74EE5E" w14:textId="77777777" w:rsidTr="009F6335">
        <w:trPr>
          <w:cantSplit/>
          <w:jc w:val="center"/>
        </w:trPr>
        <w:tc>
          <w:tcPr>
            <w:tcW w:w="2268" w:type="dxa"/>
          </w:tcPr>
          <w:p w14:paraId="645F51A4" w14:textId="73910268" w:rsidR="00DD0452" w:rsidRPr="009F6335" w:rsidRDefault="00DD0452" w:rsidP="00DD0452">
            <w:pPr>
              <w:tabs>
                <w:tab w:val="left" w:pos="680"/>
              </w:tabs>
              <w:spacing w:before="40" w:after="40"/>
              <w:rPr>
                <w:rFonts w:asciiTheme="majorHAnsi" w:hAnsiTheme="majorHAnsi" w:cstheme="majorHAnsi"/>
                <w:sz w:val="12"/>
                <w:szCs w:val="12"/>
              </w:rPr>
            </w:pPr>
            <w:r w:rsidRPr="009F6335">
              <w:rPr>
                <w:rFonts w:asciiTheme="majorHAnsi" w:hAnsiTheme="majorHAnsi" w:cstheme="majorHAnsi"/>
                <w:sz w:val="12"/>
                <w:szCs w:val="12"/>
              </w:rPr>
              <w:t xml:space="preserve">Yes </w:t>
            </w:r>
          </w:p>
        </w:tc>
        <w:tc>
          <w:tcPr>
            <w:tcW w:w="850" w:type="dxa"/>
          </w:tcPr>
          <w:p w14:paraId="22215031" w14:textId="00B897F5" w:rsidR="00DD0452" w:rsidRPr="009F6335" w:rsidRDefault="00DD0452" w:rsidP="005F1049">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8 (</w:t>
            </w:r>
            <w:r w:rsidR="005F1049">
              <w:rPr>
                <w:rFonts w:asciiTheme="majorHAnsi" w:hAnsiTheme="majorHAnsi" w:cstheme="majorHAnsi"/>
                <w:sz w:val="12"/>
                <w:szCs w:val="12"/>
              </w:rPr>
              <w:t>6</w:t>
            </w:r>
            <w:r w:rsidRPr="009F6335">
              <w:rPr>
                <w:rFonts w:asciiTheme="majorHAnsi" w:hAnsiTheme="majorHAnsi" w:cstheme="majorHAnsi"/>
                <w:sz w:val="12"/>
                <w:szCs w:val="12"/>
              </w:rPr>
              <w:t>%)</w:t>
            </w:r>
          </w:p>
        </w:tc>
        <w:tc>
          <w:tcPr>
            <w:tcW w:w="1417" w:type="dxa"/>
          </w:tcPr>
          <w:p w14:paraId="730E37BF" w14:textId="601D0D0F" w:rsidR="00DD0452" w:rsidRPr="009F6335" w:rsidRDefault="00DD0452" w:rsidP="005F1049">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1.8 (0.79–3.6)</w:t>
            </w:r>
          </w:p>
        </w:tc>
        <w:tc>
          <w:tcPr>
            <w:tcW w:w="1418" w:type="dxa"/>
          </w:tcPr>
          <w:p w14:paraId="37CBEAC1" w14:textId="4A618AAA" w:rsidR="00DD0452" w:rsidRPr="009F6335" w:rsidRDefault="00DD0452" w:rsidP="005F1049">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4.9 (2.4–10)</w:t>
            </w:r>
          </w:p>
        </w:tc>
        <w:tc>
          <w:tcPr>
            <w:tcW w:w="1134" w:type="dxa"/>
          </w:tcPr>
          <w:p w14:paraId="24F9B05A" w14:textId="1D165229" w:rsidR="00DD0452" w:rsidRPr="009F6335" w:rsidRDefault="00DD0452" w:rsidP="00DD0452">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18 (4.2%)</w:t>
            </w:r>
          </w:p>
        </w:tc>
        <w:tc>
          <w:tcPr>
            <w:tcW w:w="1417" w:type="dxa"/>
          </w:tcPr>
          <w:p w14:paraId="19EF360E" w14:textId="7C5AA477" w:rsidR="00DD0452" w:rsidRPr="009F6335" w:rsidRDefault="00DD0452" w:rsidP="00DD0452">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4.1 (2.4–6.5)</w:t>
            </w:r>
          </w:p>
        </w:tc>
        <w:tc>
          <w:tcPr>
            <w:tcW w:w="1419" w:type="dxa"/>
          </w:tcPr>
          <w:p w14:paraId="08F963E6" w14:textId="3C646490" w:rsidR="00DD0452" w:rsidRPr="009F6335" w:rsidRDefault="00DD0452" w:rsidP="00DD0452">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3.8 (2.4–6.2)</w:t>
            </w:r>
          </w:p>
        </w:tc>
        <w:tc>
          <w:tcPr>
            <w:tcW w:w="850" w:type="dxa"/>
          </w:tcPr>
          <w:p w14:paraId="406BF0D8" w14:textId="755F1FED" w:rsidR="00DD0452" w:rsidRPr="009F6335" w:rsidRDefault="00DD0452" w:rsidP="00DD0452">
            <w:pPr>
              <w:spacing w:before="40" w:after="40"/>
              <w:jc w:val="center"/>
              <w:rPr>
                <w:rFonts w:asciiTheme="majorHAnsi" w:hAnsiTheme="majorHAnsi" w:cstheme="majorHAnsi"/>
                <w:bCs/>
                <w:sz w:val="12"/>
                <w:szCs w:val="12"/>
              </w:rPr>
            </w:pPr>
            <w:r w:rsidRPr="009F6335">
              <w:rPr>
                <w:rFonts w:asciiTheme="majorHAnsi" w:hAnsiTheme="majorHAnsi" w:cstheme="majorHAnsi"/>
                <w:bCs/>
                <w:sz w:val="12"/>
                <w:szCs w:val="12"/>
              </w:rPr>
              <w:t>0</w:t>
            </w:r>
          </w:p>
        </w:tc>
        <w:tc>
          <w:tcPr>
            <w:tcW w:w="1417" w:type="dxa"/>
          </w:tcPr>
          <w:p w14:paraId="627A137E" w14:textId="2398D9F6" w:rsidR="00DD0452" w:rsidRPr="009F6335" w:rsidRDefault="00DD0452" w:rsidP="00DD0452">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w:t>
            </w:r>
          </w:p>
        </w:tc>
        <w:tc>
          <w:tcPr>
            <w:tcW w:w="1418" w:type="dxa"/>
          </w:tcPr>
          <w:p w14:paraId="004AB7AC" w14:textId="7DC9BF07" w:rsidR="00DD0452" w:rsidRPr="009F6335" w:rsidRDefault="00DD0452" w:rsidP="00DD0452">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w:t>
            </w:r>
          </w:p>
        </w:tc>
      </w:tr>
      <w:tr w:rsidR="00DD0452" w:rsidRPr="009F6335" w14:paraId="65642BE1" w14:textId="77777777" w:rsidTr="009F6335">
        <w:trPr>
          <w:cantSplit/>
          <w:jc w:val="center"/>
        </w:trPr>
        <w:tc>
          <w:tcPr>
            <w:tcW w:w="2268" w:type="dxa"/>
          </w:tcPr>
          <w:p w14:paraId="23AD384A" w14:textId="0D0F1A21" w:rsidR="00DD0452" w:rsidRPr="009F6335" w:rsidRDefault="00DD0452" w:rsidP="00DD0452">
            <w:pPr>
              <w:tabs>
                <w:tab w:val="left" w:pos="680"/>
              </w:tabs>
              <w:spacing w:before="40" w:after="40"/>
              <w:rPr>
                <w:rFonts w:asciiTheme="majorHAnsi" w:hAnsiTheme="majorHAnsi" w:cstheme="majorHAnsi"/>
                <w:sz w:val="12"/>
                <w:szCs w:val="12"/>
              </w:rPr>
            </w:pPr>
            <w:r w:rsidRPr="009F6335">
              <w:rPr>
                <w:rFonts w:asciiTheme="majorHAnsi" w:hAnsiTheme="majorHAnsi" w:cstheme="majorHAnsi"/>
                <w:sz w:val="12"/>
                <w:szCs w:val="12"/>
              </w:rPr>
              <w:t xml:space="preserve">No </w:t>
            </w:r>
          </w:p>
        </w:tc>
        <w:tc>
          <w:tcPr>
            <w:tcW w:w="850" w:type="dxa"/>
          </w:tcPr>
          <w:p w14:paraId="3CA64A71" w14:textId="543545FA" w:rsidR="00DD0452" w:rsidRPr="009F6335" w:rsidRDefault="00DD0452" w:rsidP="005F1049">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138 (94%)</w:t>
            </w:r>
          </w:p>
        </w:tc>
        <w:tc>
          <w:tcPr>
            <w:tcW w:w="1417" w:type="dxa"/>
          </w:tcPr>
          <w:p w14:paraId="5282B2E8" w14:textId="112E12A4" w:rsidR="00DD0452" w:rsidRPr="009F6335" w:rsidRDefault="00DD0452" w:rsidP="00DD0452">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0.37 (0.31–0.44)</w:t>
            </w:r>
          </w:p>
        </w:tc>
        <w:tc>
          <w:tcPr>
            <w:tcW w:w="1418" w:type="dxa"/>
          </w:tcPr>
          <w:p w14:paraId="4755268E" w14:textId="2F8DE67C" w:rsidR="00DD0452" w:rsidRPr="009F6335" w:rsidRDefault="00DD0452" w:rsidP="00DD0452">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1</w:t>
            </w:r>
          </w:p>
        </w:tc>
        <w:tc>
          <w:tcPr>
            <w:tcW w:w="1134" w:type="dxa"/>
          </w:tcPr>
          <w:p w14:paraId="28B4EDDA" w14:textId="7C964CFA" w:rsidR="00DD0452" w:rsidRPr="009F6335" w:rsidRDefault="00DD0452" w:rsidP="00DD0452">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397 (92.8)</w:t>
            </w:r>
          </w:p>
        </w:tc>
        <w:tc>
          <w:tcPr>
            <w:tcW w:w="1417" w:type="dxa"/>
          </w:tcPr>
          <w:p w14:paraId="40159CFC" w14:textId="2D141366" w:rsidR="00DD0452" w:rsidRPr="009F6335" w:rsidRDefault="00DD0452" w:rsidP="00DD0452">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1.1 (0.97–1.2)</w:t>
            </w:r>
          </w:p>
        </w:tc>
        <w:tc>
          <w:tcPr>
            <w:tcW w:w="1419" w:type="dxa"/>
          </w:tcPr>
          <w:p w14:paraId="183452C1" w14:textId="7638FE34" w:rsidR="00DD0452" w:rsidRPr="009F6335" w:rsidRDefault="00DD0452" w:rsidP="00DD0452">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w:t>
            </w:r>
          </w:p>
        </w:tc>
        <w:tc>
          <w:tcPr>
            <w:tcW w:w="850" w:type="dxa"/>
          </w:tcPr>
          <w:p w14:paraId="66754CCF" w14:textId="5D58BBE9" w:rsidR="00DD0452" w:rsidRPr="009F6335" w:rsidRDefault="00DD0452" w:rsidP="00DD0452">
            <w:pPr>
              <w:spacing w:before="40" w:after="40"/>
              <w:jc w:val="center"/>
              <w:rPr>
                <w:rFonts w:asciiTheme="majorHAnsi" w:hAnsiTheme="majorHAnsi" w:cstheme="majorHAnsi"/>
                <w:bCs/>
                <w:sz w:val="12"/>
                <w:szCs w:val="12"/>
              </w:rPr>
            </w:pPr>
            <w:r w:rsidRPr="009F6335">
              <w:rPr>
                <w:rFonts w:asciiTheme="majorHAnsi" w:hAnsiTheme="majorHAnsi" w:cstheme="majorHAnsi"/>
                <w:bCs/>
                <w:sz w:val="12"/>
                <w:szCs w:val="12"/>
              </w:rPr>
              <w:t>0</w:t>
            </w:r>
          </w:p>
        </w:tc>
        <w:tc>
          <w:tcPr>
            <w:tcW w:w="1417" w:type="dxa"/>
          </w:tcPr>
          <w:p w14:paraId="2A577C79" w14:textId="39EE6B8A" w:rsidR="00DD0452" w:rsidRPr="009F6335" w:rsidRDefault="00DD0452" w:rsidP="00DD0452">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w:t>
            </w:r>
          </w:p>
        </w:tc>
        <w:tc>
          <w:tcPr>
            <w:tcW w:w="1418" w:type="dxa"/>
          </w:tcPr>
          <w:p w14:paraId="794EF6EF" w14:textId="3FB25C0A" w:rsidR="00DD0452" w:rsidRPr="009F6335" w:rsidRDefault="00DD0452" w:rsidP="00DD0452">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w:t>
            </w:r>
          </w:p>
        </w:tc>
      </w:tr>
      <w:tr w:rsidR="00DD0452" w:rsidRPr="009F6335" w14:paraId="594156BA" w14:textId="77777777" w:rsidTr="009F6335">
        <w:trPr>
          <w:cantSplit/>
          <w:jc w:val="center"/>
        </w:trPr>
        <w:tc>
          <w:tcPr>
            <w:tcW w:w="2268" w:type="dxa"/>
          </w:tcPr>
          <w:p w14:paraId="2D842D1F" w14:textId="41D21F1B" w:rsidR="00DD0452" w:rsidRPr="009F6335" w:rsidRDefault="00DD0452" w:rsidP="00DD0452">
            <w:pPr>
              <w:tabs>
                <w:tab w:val="left" w:pos="680"/>
              </w:tabs>
              <w:spacing w:before="40" w:after="40"/>
              <w:rPr>
                <w:rFonts w:asciiTheme="majorHAnsi" w:hAnsiTheme="majorHAnsi" w:cstheme="majorHAnsi"/>
                <w:sz w:val="12"/>
                <w:szCs w:val="12"/>
              </w:rPr>
            </w:pPr>
            <w:r w:rsidRPr="009F6335">
              <w:rPr>
                <w:rFonts w:asciiTheme="majorHAnsi" w:hAnsiTheme="majorHAnsi" w:cstheme="majorHAnsi"/>
                <w:sz w:val="12"/>
                <w:szCs w:val="12"/>
              </w:rPr>
              <w:t>Unknown</w:t>
            </w:r>
          </w:p>
        </w:tc>
        <w:tc>
          <w:tcPr>
            <w:tcW w:w="850" w:type="dxa"/>
          </w:tcPr>
          <w:p w14:paraId="644C630E" w14:textId="71CFF2C5" w:rsidR="00DD0452" w:rsidRPr="009F6335" w:rsidRDefault="00DD0452" w:rsidP="00DD0452">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w:t>
            </w:r>
          </w:p>
        </w:tc>
        <w:tc>
          <w:tcPr>
            <w:tcW w:w="1417" w:type="dxa"/>
          </w:tcPr>
          <w:p w14:paraId="61810C8A" w14:textId="51A15398" w:rsidR="00DD0452" w:rsidRPr="009F6335" w:rsidRDefault="00DD0452" w:rsidP="00DD0452">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w:t>
            </w:r>
          </w:p>
        </w:tc>
        <w:tc>
          <w:tcPr>
            <w:tcW w:w="1418" w:type="dxa"/>
          </w:tcPr>
          <w:p w14:paraId="42C3D22E" w14:textId="3510DAF1" w:rsidR="00DD0452" w:rsidRPr="009F6335" w:rsidRDefault="00DD0452" w:rsidP="00DD0452">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w:t>
            </w:r>
          </w:p>
        </w:tc>
        <w:tc>
          <w:tcPr>
            <w:tcW w:w="1134" w:type="dxa"/>
          </w:tcPr>
          <w:p w14:paraId="6D631955" w14:textId="25755947" w:rsidR="00DD0452" w:rsidRPr="009F6335" w:rsidRDefault="00DD0452" w:rsidP="00DD0452">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13 (3.0%)</w:t>
            </w:r>
          </w:p>
        </w:tc>
        <w:tc>
          <w:tcPr>
            <w:tcW w:w="1417" w:type="dxa"/>
          </w:tcPr>
          <w:p w14:paraId="0DCFBDEE" w14:textId="21EEAFDE" w:rsidR="00DD0452" w:rsidRPr="009F6335" w:rsidRDefault="00DD0452" w:rsidP="00DD0452">
            <w:pPr>
              <w:spacing w:before="40" w:after="40"/>
              <w:jc w:val="center"/>
              <w:rPr>
                <w:rFonts w:asciiTheme="majorHAnsi" w:hAnsiTheme="majorHAnsi" w:cstheme="majorHAnsi"/>
                <w:sz w:val="12"/>
                <w:szCs w:val="12"/>
              </w:rPr>
            </w:pPr>
            <w:r w:rsidRPr="009F6335">
              <w:rPr>
                <w:rFonts w:asciiTheme="majorHAnsi" w:hAnsiTheme="majorHAnsi" w:cstheme="majorHAnsi"/>
                <w:sz w:val="12"/>
                <w:szCs w:val="12"/>
              </w:rPr>
              <w:t>—</w:t>
            </w:r>
          </w:p>
        </w:tc>
        <w:tc>
          <w:tcPr>
            <w:tcW w:w="1419" w:type="dxa"/>
          </w:tcPr>
          <w:p w14:paraId="75B6043C" w14:textId="5CDD9E87" w:rsidR="00DD0452" w:rsidRPr="009F6335" w:rsidRDefault="00DD0452" w:rsidP="00DD0452">
            <w:pPr>
              <w:spacing w:before="40" w:after="40"/>
              <w:jc w:val="center"/>
              <w:rPr>
                <w:rFonts w:asciiTheme="majorHAnsi" w:hAnsiTheme="majorHAnsi" w:cstheme="majorHAnsi"/>
                <w:sz w:val="12"/>
                <w:szCs w:val="12"/>
              </w:rPr>
            </w:pPr>
            <w:r w:rsidRPr="009F6335">
              <w:rPr>
                <w:rFonts w:asciiTheme="majorHAnsi" w:hAnsiTheme="majorHAnsi" w:cstheme="majorHAnsi"/>
                <w:bCs/>
                <w:sz w:val="12"/>
                <w:szCs w:val="12"/>
              </w:rPr>
              <w:t>—</w:t>
            </w:r>
          </w:p>
        </w:tc>
        <w:tc>
          <w:tcPr>
            <w:tcW w:w="850" w:type="dxa"/>
          </w:tcPr>
          <w:p w14:paraId="6C058E1F" w14:textId="302DBA61" w:rsidR="00DD0452" w:rsidRPr="009F6335" w:rsidRDefault="00DD0452" w:rsidP="00DD0452">
            <w:pPr>
              <w:spacing w:before="40" w:after="40"/>
              <w:jc w:val="center"/>
              <w:rPr>
                <w:rFonts w:asciiTheme="majorHAnsi" w:hAnsiTheme="majorHAnsi" w:cstheme="majorHAnsi"/>
                <w:bCs/>
                <w:sz w:val="12"/>
                <w:szCs w:val="12"/>
              </w:rPr>
            </w:pPr>
            <w:r w:rsidRPr="009F6335">
              <w:rPr>
                <w:rFonts w:asciiTheme="majorHAnsi" w:hAnsiTheme="majorHAnsi" w:cstheme="majorHAnsi"/>
                <w:bCs/>
                <w:sz w:val="12"/>
                <w:szCs w:val="12"/>
              </w:rPr>
              <w:t>0</w:t>
            </w:r>
          </w:p>
        </w:tc>
        <w:tc>
          <w:tcPr>
            <w:tcW w:w="1417" w:type="dxa"/>
          </w:tcPr>
          <w:p w14:paraId="62CD7B83" w14:textId="0AA05751" w:rsidR="00DD0452" w:rsidRPr="009F6335" w:rsidRDefault="00DD0452" w:rsidP="00DD0452">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w:t>
            </w:r>
          </w:p>
        </w:tc>
        <w:tc>
          <w:tcPr>
            <w:tcW w:w="1418" w:type="dxa"/>
          </w:tcPr>
          <w:p w14:paraId="00084B67" w14:textId="3881C612" w:rsidR="00DD0452" w:rsidRPr="009F6335" w:rsidRDefault="00DD0452" w:rsidP="00DD0452">
            <w:pPr>
              <w:spacing w:before="40" w:after="40"/>
              <w:jc w:val="center"/>
              <w:rPr>
                <w:rFonts w:asciiTheme="majorHAnsi" w:hAnsiTheme="majorHAnsi" w:cstheme="majorHAnsi"/>
                <w:bCs/>
                <w:sz w:val="12"/>
                <w:szCs w:val="12"/>
              </w:rPr>
            </w:pPr>
            <w:r w:rsidRPr="009F6335">
              <w:rPr>
                <w:rFonts w:asciiTheme="majorHAnsi" w:hAnsiTheme="majorHAnsi" w:cstheme="majorHAnsi"/>
                <w:sz w:val="12"/>
                <w:szCs w:val="12"/>
              </w:rPr>
              <w:t>—</w:t>
            </w:r>
          </w:p>
        </w:tc>
      </w:tr>
    </w:tbl>
    <w:bookmarkEnd w:id="2"/>
    <w:p w14:paraId="2EAEA503" w14:textId="30F0B6B9" w:rsidR="00FD1C13" w:rsidRPr="008D30AC" w:rsidRDefault="00FD1C13" w:rsidP="009F6335">
      <w:pPr>
        <w:spacing w:before="40" w:after="0" w:line="240" w:lineRule="auto"/>
        <w:rPr>
          <w:rFonts w:cstheme="minorHAnsi"/>
          <w:color w:val="000000" w:themeColor="text1"/>
          <w:sz w:val="14"/>
          <w:szCs w:val="14"/>
        </w:rPr>
      </w:pPr>
      <w:r w:rsidRPr="008D30AC">
        <w:rPr>
          <w:rFonts w:cstheme="minorHAnsi"/>
          <w:color w:val="000000" w:themeColor="text1"/>
          <w:sz w:val="14"/>
          <w:szCs w:val="14"/>
          <w:vertAlign w:val="superscript"/>
        </w:rPr>
        <w:t>1</w:t>
      </w:r>
      <w:r w:rsidRPr="008D30AC">
        <w:rPr>
          <w:rFonts w:cstheme="minorHAnsi"/>
          <w:sz w:val="14"/>
          <w:szCs w:val="14"/>
        </w:rPr>
        <w:t xml:space="preserve"> </w:t>
      </w:r>
      <w:r w:rsidRPr="008D30AC">
        <w:rPr>
          <w:rFonts w:cstheme="minorHAnsi"/>
          <w:color w:val="000000" w:themeColor="text1"/>
          <w:sz w:val="14"/>
          <w:szCs w:val="14"/>
        </w:rPr>
        <w:t>Per 100,000 population aged &lt;40 years excep</w:t>
      </w:r>
      <w:r w:rsidR="002A453D" w:rsidRPr="008D30AC">
        <w:rPr>
          <w:rFonts w:cstheme="minorHAnsi"/>
          <w:color w:val="000000" w:themeColor="text1"/>
          <w:sz w:val="14"/>
          <w:szCs w:val="14"/>
        </w:rPr>
        <w:t>t where age group is specified.</w:t>
      </w:r>
    </w:p>
    <w:p w14:paraId="4D685A3D" w14:textId="5DD6A5A4" w:rsidR="00573EBD" w:rsidRDefault="00FD1C13" w:rsidP="009F6335">
      <w:pPr>
        <w:spacing w:before="40" w:after="0" w:line="240" w:lineRule="auto"/>
        <w:rPr>
          <w:rFonts w:cstheme="minorHAnsi"/>
          <w:color w:val="000000" w:themeColor="text1"/>
          <w:sz w:val="14"/>
          <w:szCs w:val="14"/>
        </w:rPr>
      </w:pPr>
      <w:r w:rsidRPr="008D30AC">
        <w:rPr>
          <w:rFonts w:cstheme="minorHAnsi"/>
          <w:color w:val="000000" w:themeColor="text1"/>
          <w:sz w:val="14"/>
          <w:szCs w:val="14"/>
          <w:vertAlign w:val="superscript"/>
        </w:rPr>
        <w:t>2</w:t>
      </w:r>
      <w:r w:rsidRPr="008D30AC">
        <w:rPr>
          <w:rFonts w:cstheme="minorHAnsi"/>
          <w:color w:val="000000" w:themeColor="text1"/>
          <w:sz w:val="14"/>
          <w:szCs w:val="14"/>
        </w:rPr>
        <w:t xml:space="preserve"> Following exclusion of </w:t>
      </w:r>
      <w:r w:rsidR="00573EBD">
        <w:rPr>
          <w:rFonts w:cstheme="minorHAnsi"/>
          <w:color w:val="000000" w:themeColor="text1"/>
          <w:sz w:val="14"/>
          <w:szCs w:val="14"/>
        </w:rPr>
        <w:t xml:space="preserve">people with </w:t>
      </w:r>
      <w:r w:rsidR="002812C4">
        <w:rPr>
          <w:rFonts w:cstheme="minorHAnsi"/>
          <w:color w:val="000000" w:themeColor="text1"/>
          <w:sz w:val="14"/>
          <w:szCs w:val="14"/>
        </w:rPr>
        <w:t>acute rheumatic fever (</w:t>
      </w:r>
      <w:r w:rsidRPr="008D30AC">
        <w:rPr>
          <w:rFonts w:cstheme="minorHAnsi"/>
          <w:color w:val="000000" w:themeColor="text1"/>
          <w:sz w:val="14"/>
          <w:szCs w:val="14"/>
        </w:rPr>
        <w:t>ARF</w:t>
      </w:r>
      <w:r w:rsidR="002812C4">
        <w:rPr>
          <w:rFonts w:cstheme="minorHAnsi"/>
          <w:color w:val="000000" w:themeColor="text1"/>
          <w:sz w:val="14"/>
          <w:szCs w:val="14"/>
        </w:rPr>
        <w:t>)</w:t>
      </w:r>
      <w:r w:rsidRPr="008D30AC">
        <w:rPr>
          <w:rFonts w:cstheme="minorHAnsi"/>
          <w:color w:val="000000" w:themeColor="text1"/>
          <w:sz w:val="14"/>
          <w:szCs w:val="14"/>
        </w:rPr>
        <w:t xml:space="preserve"> aged ≥40 years no deaths with ARF were identified.</w:t>
      </w:r>
    </w:p>
    <w:p w14:paraId="7CFD40EC" w14:textId="499D399E" w:rsidR="00FD1C13" w:rsidRPr="008D30AC" w:rsidRDefault="00FD1C13" w:rsidP="009F6335">
      <w:pPr>
        <w:spacing w:before="40" w:after="0" w:line="240" w:lineRule="auto"/>
        <w:rPr>
          <w:rFonts w:cstheme="minorHAnsi"/>
          <w:color w:val="000000" w:themeColor="text1"/>
          <w:sz w:val="14"/>
          <w:szCs w:val="14"/>
        </w:rPr>
      </w:pPr>
      <w:r w:rsidRPr="008D30AC">
        <w:rPr>
          <w:rFonts w:cstheme="minorHAnsi"/>
          <w:color w:val="000000" w:themeColor="text1"/>
          <w:sz w:val="14"/>
          <w:szCs w:val="14"/>
          <w:vertAlign w:val="superscript"/>
        </w:rPr>
        <w:t>3</w:t>
      </w:r>
      <w:r w:rsidRPr="008D30AC">
        <w:rPr>
          <w:rFonts w:cstheme="minorHAnsi"/>
          <w:color w:val="000000" w:themeColor="text1"/>
          <w:sz w:val="14"/>
          <w:szCs w:val="14"/>
        </w:rPr>
        <w:t xml:space="preserve"> </w:t>
      </w:r>
      <w:r w:rsidR="00573EBD">
        <w:rPr>
          <w:rFonts w:cstheme="minorHAnsi"/>
          <w:color w:val="000000" w:themeColor="text1"/>
          <w:sz w:val="14"/>
          <w:szCs w:val="14"/>
        </w:rPr>
        <w:t>Eleven people</w:t>
      </w:r>
      <w:r w:rsidRPr="008D30AC">
        <w:rPr>
          <w:rFonts w:cstheme="minorHAnsi"/>
          <w:color w:val="000000" w:themeColor="text1"/>
          <w:sz w:val="14"/>
          <w:szCs w:val="14"/>
        </w:rPr>
        <w:t xml:space="preserve"> received a principal diagnosis of ARF and a principal diagnosis of </w:t>
      </w:r>
      <w:r w:rsidR="002812C4">
        <w:rPr>
          <w:rFonts w:cstheme="minorHAnsi"/>
          <w:color w:val="000000" w:themeColor="text1"/>
          <w:sz w:val="14"/>
          <w:szCs w:val="14"/>
        </w:rPr>
        <w:t>rheumatic heart disease (</w:t>
      </w:r>
      <w:r w:rsidRPr="008D30AC">
        <w:rPr>
          <w:rFonts w:cstheme="minorHAnsi"/>
          <w:color w:val="000000" w:themeColor="text1"/>
          <w:sz w:val="14"/>
          <w:szCs w:val="14"/>
        </w:rPr>
        <w:t>RHD</w:t>
      </w:r>
      <w:r w:rsidR="002812C4">
        <w:rPr>
          <w:rFonts w:cstheme="minorHAnsi"/>
          <w:color w:val="000000" w:themeColor="text1"/>
          <w:sz w:val="14"/>
          <w:szCs w:val="14"/>
        </w:rPr>
        <w:t>)</w:t>
      </w:r>
      <w:r w:rsidRPr="008D30AC">
        <w:rPr>
          <w:rFonts w:cstheme="minorHAnsi"/>
          <w:color w:val="000000" w:themeColor="text1"/>
          <w:sz w:val="14"/>
          <w:szCs w:val="14"/>
        </w:rPr>
        <w:t xml:space="preserve"> for separate hospital admissions</w:t>
      </w:r>
      <w:r w:rsidR="00573EBD">
        <w:rPr>
          <w:rFonts w:cstheme="minorHAnsi"/>
          <w:color w:val="000000" w:themeColor="text1"/>
          <w:sz w:val="14"/>
          <w:szCs w:val="14"/>
        </w:rPr>
        <w:t>.</w:t>
      </w:r>
    </w:p>
    <w:p w14:paraId="1AB09FF6" w14:textId="5926ED14" w:rsidR="00FD1C13" w:rsidRPr="008D30AC" w:rsidRDefault="00FD1C13" w:rsidP="009F6335">
      <w:pPr>
        <w:spacing w:before="40" w:after="0" w:line="240" w:lineRule="auto"/>
        <w:rPr>
          <w:rFonts w:cstheme="minorHAnsi"/>
          <w:color w:val="000000" w:themeColor="text1"/>
          <w:sz w:val="14"/>
          <w:szCs w:val="14"/>
        </w:rPr>
      </w:pPr>
      <w:r w:rsidRPr="008D30AC">
        <w:rPr>
          <w:rFonts w:cstheme="minorHAnsi"/>
          <w:color w:val="000000" w:themeColor="text1"/>
          <w:sz w:val="14"/>
          <w:szCs w:val="14"/>
          <w:vertAlign w:val="superscript"/>
        </w:rPr>
        <w:t>4</w:t>
      </w:r>
      <w:r w:rsidRPr="008D30AC">
        <w:rPr>
          <w:rFonts w:cstheme="minorHAnsi"/>
          <w:color w:val="000000" w:themeColor="text1"/>
          <w:sz w:val="14"/>
          <w:szCs w:val="14"/>
        </w:rPr>
        <w:t xml:space="preserve"> Restricted to July 2006 through June 2017 which corresponds to population year </w:t>
      </w:r>
      <w:r w:rsidRPr="00573EBD">
        <w:rPr>
          <w:rFonts w:cstheme="minorHAnsi"/>
          <w:color w:val="000000" w:themeColor="text1"/>
          <w:sz w:val="14"/>
          <w:szCs w:val="14"/>
        </w:rPr>
        <w:t>of July</w:t>
      </w:r>
      <w:r w:rsidR="00CE1262" w:rsidRPr="00573EBD">
        <w:rPr>
          <w:rFonts w:cstheme="minorHAnsi"/>
          <w:color w:val="000000" w:themeColor="text1"/>
          <w:sz w:val="14"/>
          <w:szCs w:val="14"/>
        </w:rPr>
        <w:t>–</w:t>
      </w:r>
      <w:r w:rsidRPr="00573EBD">
        <w:rPr>
          <w:rFonts w:cstheme="minorHAnsi"/>
          <w:color w:val="000000" w:themeColor="text1"/>
          <w:sz w:val="14"/>
          <w:szCs w:val="14"/>
        </w:rPr>
        <w:t>June</w:t>
      </w:r>
      <w:r w:rsidR="003A4706">
        <w:rPr>
          <w:rFonts w:cstheme="minorHAnsi"/>
          <w:color w:val="000000" w:themeColor="text1"/>
          <w:sz w:val="14"/>
          <w:szCs w:val="14"/>
        </w:rPr>
        <w:t>.</w:t>
      </w:r>
      <w:r w:rsidRPr="00573EBD">
        <w:rPr>
          <w:rFonts w:cstheme="minorHAnsi"/>
          <w:color w:val="000000" w:themeColor="text1"/>
          <w:sz w:val="14"/>
          <w:szCs w:val="14"/>
        </w:rPr>
        <w:t xml:space="preserve"> C</w:t>
      </w:r>
      <w:r w:rsidR="00106593" w:rsidRPr="00573EBD">
        <w:rPr>
          <w:rFonts w:cstheme="minorHAnsi"/>
          <w:color w:val="000000" w:themeColor="text1"/>
          <w:sz w:val="14"/>
          <w:szCs w:val="14"/>
        </w:rPr>
        <w:t xml:space="preserve">ause </w:t>
      </w:r>
      <w:r w:rsidRPr="00573EBD">
        <w:rPr>
          <w:rFonts w:cstheme="minorHAnsi"/>
          <w:color w:val="000000" w:themeColor="text1"/>
          <w:sz w:val="14"/>
          <w:szCs w:val="14"/>
        </w:rPr>
        <w:t>O</w:t>
      </w:r>
      <w:r w:rsidR="00564448" w:rsidRPr="00573EBD">
        <w:rPr>
          <w:rFonts w:cstheme="minorHAnsi"/>
          <w:color w:val="000000" w:themeColor="text1"/>
          <w:sz w:val="14"/>
          <w:szCs w:val="14"/>
        </w:rPr>
        <w:t xml:space="preserve">f </w:t>
      </w:r>
      <w:r w:rsidRPr="00573EBD">
        <w:rPr>
          <w:rFonts w:cstheme="minorHAnsi"/>
          <w:color w:val="000000" w:themeColor="text1"/>
          <w:sz w:val="14"/>
          <w:szCs w:val="14"/>
        </w:rPr>
        <w:t>D</w:t>
      </w:r>
      <w:r w:rsidR="00564448" w:rsidRPr="00573EBD">
        <w:rPr>
          <w:rFonts w:cstheme="minorHAnsi"/>
          <w:color w:val="000000" w:themeColor="text1"/>
          <w:sz w:val="14"/>
          <w:szCs w:val="14"/>
        </w:rPr>
        <w:t>eath</w:t>
      </w:r>
      <w:r w:rsidR="00564448">
        <w:rPr>
          <w:rFonts w:cstheme="minorHAnsi"/>
          <w:color w:val="000000" w:themeColor="text1"/>
          <w:sz w:val="14"/>
          <w:szCs w:val="14"/>
        </w:rPr>
        <w:t xml:space="preserve"> Unit Record File (COD URF)</w:t>
      </w:r>
      <w:r w:rsidRPr="008D30AC">
        <w:rPr>
          <w:rFonts w:cstheme="minorHAnsi"/>
          <w:color w:val="000000" w:themeColor="text1"/>
          <w:sz w:val="14"/>
          <w:szCs w:val="14"/>
        </w:rPr>
        <w:t xml:space="preserve"> data runs through to December 2017 and </w:t>
      </w:r>
      <w:r w:rsidR="00564448">
        <w:rPr>
          <w:rFonts w:cstheme="minorHAnsi"/>
          <w:color w:val="000000" w:themeColor="text1"/>
          <w:sz w:val="14"/>
          <w:szCs w:val="14"/>
        </w:rPr>
        <w:t xml:space="preserve">Victorian Admitted Episodes Dataset </w:t>
      </w:r>
      <w:r w:rsidR="00564448" w:rsidRPr="00564448">
        <w:rPr>
          <w:rFonts w:cstheme="minorHAnsi"/>
          <w:color w:val="000000" w:themeColor="text1"/>
          <w:sz w:val="14"/>
          <w:szCs w:val="14"/>
        </w:rPr>
        <w:t>(</w:t>
      </w:r>
      <w:r w:rsidRPr="00573EBD">
        <w:rPr>
          <w:rFonts w:cstheme="minorHAnsi"/>
          <w:color w:val="000000" w:themeColor="text1"/>
          <w:sz w:val="14"/>
          <w:szCs w:val="14"/>
        </w:rPr>
        <w:t>VAED</w:t>
      </w:r>
      <w:r w:rsidR="00564448" w:rsidRPr="00573EBD">
        <w:rPr>
          <w:rFonts w:cstheme="minorHAnsi"/>
          <w:color w:val="000000" w:themeColor="text1"/>
          <w:sz w:val="14"/>
          <w:szCs w:val="14"/>
        </w:rPr>
        <w:t>)</w:t>
      </w:r>
      <w:r w:rsidRPr="00573EBD">
        <w:rPr>
          <w:rFonts w:cstheme="minorHAnsi"/>
          <w:color w:val="000000" w:themeColor="text1"/>
          <w:sz w:val="14"/>
          <w:szCs w:val="14"/>
        </w:rPr>
        <w:t xml:space="preserve"> </w:t>
      </w:r>
      <w:r w:rsidRPr="00564448">
        <w:rPr>
          <w:rFonts w:cstheme="minorHAnsi"/>
          <w:color w:val="000000" w:themeColor="text1"/>
          <w:sz w:val="14"/>
          <w:szCs w:val="14"/>
        </w:rPr>
        <w:t>data</w:t>
      </w:r>
      <w:r w:rsidRPr="008D30AC">
        <w:rPr>
          <w:rFonts w:cstheme="minorHAnsi"/>
          <w:color w:val="000000" w:themeColor="text1"/>
          <w:sz w:val="14"/>
          <w:szCs w:val="14"/>
        </w:rPr>
        <w:t xml:space="preserve"> to June 2018</w:t>
      </w:r>
      <w:r w:rsidR="003A4706">
        <w:rPr>
          <w:rFonts w:cstheme="minorHAnsi"/>
          <w:color w:val="000000" w:themeColor="text1"/>
          <w:sz w:val="14"/>
          <w:szCs w:val="14"/>
        </w:rPr>
        <w:t>.</w:t>
      </w:r>
    </w:p>
    <w:p w14:paraId="04F56E85" w14:textId="47EEF8B9" w:rsidR="00FD1C13" w:rsidRPr="008D30AC" w:rsidRDefault="00FD1C13" w:rsidP="009F6335">
      <w:pPr>
        <w:spacing w:before="40" w:after="0" w:line="240" w:lineRule="auto"/>
        <w:rPr>
          <w:rFonts w:cstheme="minorHAnsi"/>
          <w:color w:val="000000" w:themeColor="text1"/>
          <w:sz w:val="14"/>
          <w:szCs w:val="14"/>
        </w:rPr>
      </w:pPr>
      <w:r w:rsidRPr="008D30AC">
        <w:rPr>
          <w:rFonts w:cstheme="minorHAnsi"/>
          <w:color w:val="000000" w:themeColor="text1"/>
          <w:sz w:val="14"/>
          <w:szCs w:val="14"/>
          <w:vertAlign w:val="superscript"/>
        </w:rPr>
        <w:t>5</w:t>
      </w:r>
      <w:r w:rsidRPr="008D30AC">
        <w:rPr>
          <w:rFonts w:cstheme="minorHAnsi"/>
          <w:color w:val="000000" w:themeColor="text1"/>
          <w:sz w:val="14"/>
          <w:szCs w:val="14"/>
        </w:rPr>
        <w:t xml:space="preserve"> Age</w:t>
      </w:r>
      <w:r w:rsidR="00573EBD">
        <w:rPr>
          <w:rFonts w:cstheme="minorHAnsi"/>
          <w:color w:val="000000" w:themeColor="text1"/>
          <w:sz w:val="14"/>
          <w:szCs w:val="14"/>
        </w:rPr>
        <w:t xml:space="preserve"> </w:t>
      </w:r>
      <w:r w:rsidRPr="008D30AC">
        <w:rPr>
          <w:rFonts w:cstheme="minorHAnsi"/>
          <w:color w:val="000000" w:themeColor="text1"/>
          <w:sz w:val="14"/>
          <w:szCs w:val="14"/>
        </w:rPr>
        <w:t xml:space="preserve">group categories for </w:t>
      </w:r>
      <w:r w:rsidRPr="00573EBD">
        <w:rPr>
          <w:rFonts w:cstheme="minorHAnsi"/>
          <w:color w:val="000000" w:themeColor="text1"/>
          <w:sz w:val="14"/>
          <w:szCs w:val="14"/>
        </w:rPr>
        <w:t xml:space="preserve">COD URF </w:t>
      </w:r>
      <w:r w:rsidRPr="008D30AC">
        <w:rPr>
          <w:rFonts w:cstheme="minorHAnsi"/>
          <w:color w:val="000000" w:themeColor="text1"/>
          <w:sz w:val="14"/>
          <w:szCs w:val="14"/>
        </w:rPr>
        <w:t>were supplied as: 26</w:t>
      </w:r>
      <w:r w:rsidR="00CE1262" w:rsidRPr="008D30AC">
        <w:rPr>
          <w:rFonts w:cstheme="minorHAnsi"/>
          <w:color w:val="000000" w:themeColor="text1"/>
          <w:sz w:val="14"/>
          <w:szCs w:val="14"/>
        </w:rPr>
        <w:t>–</w:t>
      </w:r>
      <w:r w:rsidRPr="008D30AC">
        <w:rPr>
          <w:rFonts w:cstheme="minorHAnsi"/>
          <w:color w:val="000000" w:themeColor="text1"/>
          <w:sz w:val="14"/>
          <w:szCs w:val="14"/>
        </w:rPr>
        <w:t>30, 31</w:t>
      </w:r>
      <w:r w:rsidR="00CE1262" w:rsidRPr="008D30AC">
        <w:rPr>
          <w:rFonts w:cstheme="minorHAnsi"/>
          <w:color w:val="000000" w:themeColor="text1"/>
          <w:sz w:val="14"/>
          <w:szCs w:val="14"/>
        </w:rPr>
        <w:t>–</w:t>
      </w:r>
      <w:r w:rsidRPr="008D30AC">
        <w:rPr>
          <w:rFonts w:cstheme="minorHAnsi"/>
          <w:color w:val="000000" w:themeColor="text1"/>
          <w:sz w:val="14"/>
          <w:szCs w:val="14"/>
        </w:rPr>
        <w:t>35, 36</w:t>
      </w:r>
      <w:r w:rsidR="00CE1262" w:rsidRPr="008D30AC">
        <w:rPr>
          <w:rFonts w:cstheme="minorHAnsi"/>
          <w:color w:val="000000" w:themeColor="text1"/>
          <w:sz w:val="14"/>
          <w:szCs w:val="14"/>
        </w:rPr>
        <w:t>–</w:t>
      </w:r>
      <w:r w:rsidRPr="008D30AC">
        <w:rPr>
          <w:rFonts w:cstheme="minorHAnsi"/>
          <w:color w:val="000000" w:themeColor="text1"/>
          <w:sz w:val="14"/>
          <w:szCs w:val="14"/>
        </w:rPr>
        <w:t>40, 41</w:t>
      </w:r>
      <w:r w:rsidR="00CE1262" w:rsidRPr="008D30AC">
        <w:rPr>
          <w:rFonts w:cstheme="minorHAnsi"/>
          <w:color w:val="000000" w:themeColor="text1"/>
          <w:sz w:val="14"/>
          <w:szCs w:val="14"/>
        </w:rPr>
        <w:t>–</w:t>
      </w:r>
      <w:r w:rsidRPr="008D30AC">
        <w:rPr>
          <w:rFonts w:cstheme="minorHAnsi"/>
          <w:color w:val="000000" w:themeColor="text1"/>
          <w:sz w:val="14"/>
          <w:szCs w:val="14"/>
        </w:rPr>
        <w:t>45, 46</w:t>
      </w:r>
      <w:r w:rsidR="00CE1262" w:rsidRPr="008D30AC">
        <w:rPr>
          <w:rFonts w:cstheme="minorHAnsi"/>
          <w:color w:val="000000" w:themeColor="text1"/>
          <w:sz w:val="14"/>
          <w:szCs w:val="14"/>
        </w:rPr>
        <w:t>–</w:t>
      </w:r>
      <w:r w:rsidRPr="008D30AC">
        <w:rPr>
          <w:rFonts w:cstheme="minorHAnsi"/>
          <w:color w:val="000000" w:themeColor="text1"/>
          <w:sz w:val="14"/>
          <w:szCs w:val="14"/>
        </w:rPr>
        <w:t>50, 51</w:t>
      </w:r>
      <w:r w:rsidR="00CE1262" w:rsidRPr="008D30AC">
        <w:rPr>
          <w:rFonts w:cstheme="minorHAnsi"/>
          <w:color w:val="000000" w:themeColor="text1"/>
          <w:sz w:val="14"/>
          <w:szCs w:val="14"/>
        </w:rPr>
        <w:t>–</w:t>
      </w:r>
      <w:r w:rsidRPr="008D30AC">
        <w:rPr>
          <w:rFonts w:cstheme="minorHAnsi"/>
          <w:color w:val="000000" w:themeColor="text1"/>
          <w:sz w:val="14"/>
          <w:szCs w:val="14"/>
        </w:rPr>
        <w:t>55, 56</w:t>
      </w:r>
      <w:r w:rsidR="00CE1262" w:rsidRPr="008D30AC">
        <w:rPr>
          <w:rFonts w:cstheme="minorHAnsi"/>
          <w:color w:val="000000" w:themeColor="text1"/>
          <w:sz w:val="14"/>
          <w:szCs w:val="14"/>
        </w:rPr>
        <w:t>–</w:t>
      </w:r>
      <w:r w:rsidRPr="008D30AC">
        <w:rPr>
          <w:rFonts w:cstheme="minorHAnsi"/>
          <w:color w:val="000000" w:themeColor="text1"/>
          <w:sz w:val="14"/>
          <w:szCs w:val="14"/>
        </w:rPr>
        <w:t>60, 61</w:t>
      </w:r>
      <w:r w:rsidR="00CE1262" w:rsidRPr="008D30AC">
        <w:rPr>
          <w:rFonts w:cstheme="minorHAnsi"/>
          <w:color w:val="000000" w:themeColor="text1"/>
          <w:sz w:val="14"/>
          <w:szCs w:val="14"/>
        </w:rPr>
        <w:t>–</w:t>
      </w:r>
      <w:r w:rsidRPr="008D30AC">
        <w:rPr>
          <w:rFonts w:cstheme="minorHAnsi"/>
          <w:color w:val="000000" w:themeColor="text1"/>
          <w:sz w:val="14"/>
          <w:szCs w:val="14"/>
        </w:rPr>
        <w:t>65, 66</w:t>
      </w:r>
      <w:r w:rsidR="00CE1262" w:rsidRPr="008D30AC">
        <w:rPr>
          <w:rFonts w:cstheme="minorHAnsi"/>
          <w:color w:val="000000" w:themeColor="text1"/>
          <w:sz w:val="14"/>
          <w:szCs w:val="14"/>
        </w:rPr>
        <w:t>–</w:t>
      </w:r>
      <w:r w:rsidRPr="008D30AC">
        <w:rPr>
          <w:rFonts w:cstheme="minorHAnsi"/>
          <w:color w:val="000000" w:themeColor="text1"/>
          <w:sz w:val="14"/>
          <w:szCs w:val="14"/>
        </w:rPr>
        <w:t>70, 71</w:t>
      </w:r>
      <w:r w:rsidR="00CE1262" w:rsidRPr="008D30AC">
        <w:rPr>
          <w:rFonts w:cstheme="minorHAnsi"/>
          <w:color w:val="000000" w:themeColor="text1"/>
          <w:sz w:val="14"/>
          <w:szCs w:val="14"/>
        </w:rPr>
        <w:t>–</w:t>
      </w:r>
      <w:r w:rsidRPr="008D30AC">
        <w:rPr>
          <w:rFonts w:cstheme="minorHAnsi"/>
          <w:color w:val="000000" w:themeColor="text1"/>
          <w:sz w:val="14"/>
          <w:szCs w:val="14"/>
        </w:rPr>
        <w:t>75, 76</w:t>
      </w:r>
      <w:r w:rsidR="00CE1262" w:rsidRPr="008D30AC">
        <w:rPr>
          <w:rFonts w:cstheme="minorHAnsi"/>
          <w:color w:val="000000" w:themeColor="text1"/>
          <w:sz w:val="14"/>
          <w:szCs w:val="14"/>
        </w:rPr>
        <w:t>–</w:t>
      </w:r>
      <w:r w:rsidRPr="008D30AC">
        <w:rPr>
          <w:rFonts w:cstheme="minorHAnsi"/>
          <w:color w:val="000000" w:themeColor="text1"/>
          <w:sz w:val="14"/>
          <w:szCs w:val="14"/>
        </w:rPr>
        <w:t xml:space="preserve">80, &gt;80 years. Individuals identified in COD URF were assigned to their closest VAED age group.  This means individuals identified in COD URF aged 30, 40, 50, 60, 70 or 80 years are miscategorised. </w:t>
      </w:r>
    </w:p>
    <w:p w14:paraId="21FE5BB7" w14:textId="7BBDA78D" w:rsidR="00B15674" w:rsidRPr="009B32A4" w:rsidRDefault="00B15674" w:rsidP="00CF11F0">
      <w:pPr>
        <w:spacing w:line="360" w:lineRule="auto"/>
        <w:rPr>
          <w:rFonts w:ascii="Times New Roman" w:hAnsi="Times New Roman" w:cs="Times New Roman"/>
          <w:b/>
          <w:bCs/>
          <w:sz w:val="20"/>
          <w:szCs w:val="20"/>
        </w:rPr>
      </w:pPr>
    </w:p>
    <w:sectPr w:rsidR="00B15674" w:rsidRPr="009B32A4" w:rsidSect="00FD1C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DD5A2" w14:textId="77777777" w:rsidR="000852F1" w:rsidRDefault="000852F1" w:rsidP="00CB693A">
      <w:pPr>
        <w:spacing w:after="0" w:line="240" w:lineRule="auto"/>
      </w:pPr>
      <w:r>
        <w:separator/>
      </w:r>
    </w:p>
  </w:endnote>
  <w:endnote w:type="continuationSeparator" w:id="0">
    <w:p w14:paraId="1AE99006" w14:textId="77777777" w:rsidR="000852F1" w:rsidRDefault="000852F1" w:rsidP="00CB6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E3E5E" w14:textId="77777777" w:rsidR="0025391E" w:rsidRDefault="002539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405272"/>
      <w:docPartObj>
        <w:docPartGallery w:val="Page Numbers (Bottom of Page)"/>
        <w:docPartUnique/>
      </w:docPartObj>
    </w:sdtPr>
    <w:sdtEndPr>
      <w:rPr>
        <w:noProof/>
      </w:rPr>
    </w:sdtEndPr>
    <w:sdtContent>
      <w:p w14:paraId="332168FF" w14:textId="74EC9612" w:rsidR="0025391E" w:rsidRDefault="0025391E">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67265366" w14:textId="77777777" w:rsidR="0025391E" w:rsidRDefault="002539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08A96" w14:textId="77777777" w:rsidR="0025391E" w:rsidRDefault="0025391E">
    <w:pPr>
      <w:pStyle w:val="Footer"/>
    </w:pPr>
    <w:bookmarkStart w:id="1" w:name="_GoBack"/>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A95F2" w14:textId="77777777" w:rsidR="000852F1" w:rsidRDefault="000852F1" w:rsidP="00CB693A">
      <w:pPr>
        <w:spacing w:after="0" w:line="240" w:lineRule="auto"/>
      </w:pPr>
      <w:r>
        <w:separator/>
      </w:r>
    </w:p>
  </w:footnote>
  <w:footnote w:type="continuationSeparator" w:id="0">
    <w:p w14:paraId="43ABDD22" w14:textId="77777777" w:rsidR="000852F1" w:rsidRDefault="000852F1" w:rsidP="00CB69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EA353" w14:textId="77777777" w:rsidR="0025391E" w:rsidRDefault="002539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3EEF0" w14:textId="77777777" w:rsidR="0025391E" w:rsidRDefault="002539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56FF0" w14:textId="77777777" w:rsidR="0025391E" w:rsidRDefault="002539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B7E37"/>
    <w:multiLevelType w:val="hybridMultilevel"/>
    <w:tmpl w:val="812CED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e Oliver">
    <w15:presenceInfo w15:providerId="None" w15:userId="Jane Oliv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d9f2vsjtatpreza5fpvd0pdwr09w0t92vx&quot;&gt;Jane&amp;apos;s Endnote Library-Converted&lt;record-ids&gt;&lt;item&gt;263&lt;/item&gt;&lt;/record-ids&gt;&lt;/item&gt;&lt;/Libraries&gt;"/>
  </w:docVars>
  <w:rsids>
    <w:rsidRoot w:val="004E1B23"/>
    <w:rsid w:val="00082744"/>
    <w:rsid w:val="000852F1"/>
    <w:rsid w:val="000864EC"/>
    <w:rsid w:val="00086B65"/>
    <w:rsid w:val="000A26D6"/>
    <w:rsid w:val="000F02F8"/>
    <w:rsid w:val="000F2683"/>
    <w:rsid w:val="00101D6F"/>
    <w:rsid w:val="00106593"/>
    <w:rsid w:val="00122DA3"/>
    <w:rsid w:val="00184A0B"/>
    <w:rsid w:val="00205AFA"/>
    <w:rsid w:val="00206663"/>
    <w:rsid w:val="002357C0"/>
    <w:rsid w:val="0025391E"/>
    <w:rsid w:val="002606D2"/>
    <w:rsid w:val="00263805"/>
    <w:rsid w:val="0026649D"/>
    <w:rsid w:val="00280B15"/>
    <w:rsid w:val="002812C4"/>
    <w:rsid w:val="00281C3E"/>
    <w:rsid w:val="002A0A6E"/>
    <w:rsid w:val="002A453D"/>
    <w:rsid w:val="002A4BDD"/>
    <w:rsid w:val="002C000E"/>
    <w:rsid w:val="002C15B3"/>
    <w:rsid w:val="002C1A2D"/>
    <w:rsid w:val="00321F21"/>
    <w:rsid w:val="00354B67"/>
    <w:rsid w:val="003679D5"/>
    <w:rsid w:val="003A2355"/>
    <w:rsid w:val="003A4706"/>
    <w:rsid w:val="003B1E9D"/>
    <w:rsid w:val="003F03DE"/>
    <w:rsid w:val="0043180A"/>
    <w:rsid w:val="0045347F"/>
    <w:rsid w:val="004577D8"/>
    <w:rsid w:val="00474D35"/>
    <w:rsid w:val="004C0919"/>
    <w:rsid w:val="004C0F7C"/>
    <w:rsid w:val="004C366A"/>
    <w:rsid w:val="004D49A5"/>
    <w:rsid w:val="004E1B23"/>
    <w:rsid w:val="004E53E0"/>
    <w:rsid w:val="004E5AB5"/>
    <w:rsid w:val="004F5D5B"/>
    <w:rsid w:val="00510D6D"/>
    <w:rsid w:val="00557373"/>
    <w:rsid w:val="00564448"/>
    <w:rsid w:val="00572B18"/>
    <w:rsid w:val="00572CD7"/>
    <w:rsid w:val="00573EBD"/>
    <w:rsid w:val="00586366"/>
    <w:rsid w:val="005865B5"/>
    <w:rsid w:val="005C4FBE"/>
    <w:rsid w:val="005D259F"/>
    <w:rsid w:val="005F1049"/>
    <w:rsid w:val="005F7016"/>
    <w:rsid w:val="00605897"/>
    <w:rsid w:val="00625140"/>
    <w:rsid w:val="00675351"/>
    <w:rsid w:val="006756DF"/>
    <w:rsid w:val="0068559F"/>
    <w:rsid w:val="006D001E"/>
    <w:rsid w:val="006F0B54"/>
    <w:rsid w:val="0070185B"/>
    <w:rsid w:val="00705655"/>
    <w:rsid w:val="0075040F"/>
    <w:rsid w:val="00771B6F"/>
    <w:rsid w:val="00782413"/>
    <w:rsid w:val="00786739"/>
    <w:rsid w:val="00796811"/>
    <w:rsid w:val="007A6596"/>
    <w:rsid w:val="007B147F"/>
    <w:rsid w:val="008217E9"/>
    <w:rsid w:val="0085348D"/>
    <w:rsid w:val="00865C6F"/>
    <w:rsid w:val="00874B89"/>
    <w:rsid w:val="00875B07"/>
    <w:rsid w:val="00882955"/>
    <w:rsid w:val="008D30AC"/>
    <w:rsid w:val="008F2FCD"/>
    <w:rsid w:val="009176E3"/>
    <w:rsid w:val="0094344F"/>
    <w:rsid w:val="00943D76"/>
    <w:rsid w:val="00951406"/>
    <w:rsid w:val="00954075"/>
    <w:rsid w:val="00967630"/>
    <w:rsid w:val="009B32A4"/>
    <w:rsid w:val="009D3AB1"/>
    <w:rsid w:val="009D61D4"/>
    <w:rsid w:val="009F2503"/>
    <w:rsid w:val="009F6335"/>
    <w:rsid w:val="00A04A9E"/>
    <w:rsid w:val="00A129A7"/>
    <w:rsid w:val="00A35FD8"/>
    <w:rsid w:val="00A421D3"/>
    <w:rsid w:val="00A54119"/>
    <w:rsid w:val="00A620A2"/>
    <w:rsid w:val="00A849D8"/>
    <w:rsid w:val="00A877C4"/>
    <w:rsid w:val="00AC0619"/>
    <w:rsid w:val="00AD2E33"/>
    <w:rsid w:val="00B0513C"/>
    <w:rsid w:val="00B15674"/>
    <w:rsid w:val="00B6734C"/>
    <w:rsid w:val="00BA0AFD"/>
    <w:rsid w:val="00BA2119"/>
    <w:rsid w:val="00BB2432"/>
    <w:rsid w:val="00BB26BE"/>
    <w:rsid w:val="00BB42A5"/>
    <w:rsid w:val="00BC43EC"/>
    <w:rsid w:val="00BC6148"/>
    <w:rsid w:val="00BF190E"/>
    <w:rsid w:val="00C10C7E"/>
    <w:rsid w:val="00C47823"/>
    <w:rsid w:val="00C649CB"/>
    <w:rsid w:val="00C737DD"/>
    <w:rsid w:val="00C97D82"/>
    <w:rsid w:val="00CA4769"/>
    <w:rsid w:val="00CB693A"/>
    <w:rsid w:val="00CD15CB"/>
    <w:rsid w:val="00CE1262"/>
    <w:rsid w:val="00CF11F0"/>
    <w:rsid w:val="00CF2669"/>
    <w:rsid w:val="00CF7DB8"/>
    <w:rsid w:val="00D16C7C"/>
    <w:rsid w:val="00D30007"/>
    <w:rsid w:val="00D63995"/>
    <w:rsid w:val="00D94407"/>
    <w:rsid w:val="00D97B7A"/>
    <w:rsid w:val="00DA7CA8"/>
    <w:rsid w:val="00DD0452"/>
    <w:rsid w:val="00DD20BD"/>
    <w:rsid w:val="00E139B0"/>
    <w:rsid w:val="00E468F7"/>
    <w:rsid w:val="00E55B40"/>
    <w:rsid w:val="00EC5B41"/>
    <w:rsid w:val="00EC6E57"/>
    <w:rsid w:val="00ED37F9"/>
    <w:rsid w:val="00ED66C3"/>
    <w:rsid w:val="00F06DE5"/>
    <w:rsid w:val="00F132D2"/>
    <w:rsid w:val="00F13E3A"/>
    <w:rsid w:val="00F13E9B"/>
    <w:rsid w:val="00F224C5"/>
    <w:rsid w:val="00F408FD"/>
    <w:rsid w:val="00F62DB0"/>
    <w:rsid w:val="00F86677"/>
    <w:rsid w:val="00FB69DA"/>
    <w:rsid w:val="00FC4C40"/>
    <w:rsid w:val="00FD1C13"/>
    <w:rsid w:val="00FD40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E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7C0"/>
  </w:style>
  <w:style w:type="paragraph" w:styleId="Heading2">
    <w:name w:val="heading 2"/>
    <w:basedOn w:val="Normal"/>
    <w:next w:val="Normal"/>
    <w:link w:val="Heading2Char"/>
    <w:uiPriority w:val="9"/>
    <w:unhideWhenUsed/>
    <w:qFormat/>
    <w:rsid w:val="002357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57C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357C0"/>
    <w:pPr>
      <w:ind w:left="720"/>
      <w:contextualSpacing/>
    </w:pPr>
  </w:style>
  <w:style w:type="paragraph" w:customStyle="1" w:styleId="EndNoteBibliographyTitle">
    <w:name w:val="EndNote Bibliography Title"/>
    <w:basedOn w:val="Normal"/>
    <w:link w:val="EndNoteBibliographyTitleChar"/>
    <w:rsid w:val="008217E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217E9"/>
    <w:rPr>
      <w:rFonts w:ascii="Calibri" w:hAnsi="Calibri" w:cs="Calibri"/>
      <w:noProof/>
      <w:lang w:val="en-US"/>
    </w:rPr>
  </w:style>
  <w:style w:type="paragraph" w:customStyle="1" w:styleId="EndNoteBibliography">
    <w:name w:val="EndNote Bibliography"/>
    <w:basedOn w:val="Normal"/>
    <w:link w:val="EndNoteBibliographyChar"/>
    <w:rsid w:val="008217E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217E9"/>
    <w:rPr>
      <w:rFonts w:ascii="Calibri" w:hAnsi="Calibri" w:cs="Calibri"/>
      <w:noProof/>
      <w:lang w:val="en-US"/>
    </w:rPr>
  </w:style>
  <w:style w:type="character" w:styleId="Hyperlink">
    <w:name w:val="Hyperlink"/>
    <w:basedOn w:val="DefaultParagraphFont"/>
    <w:uiPriority w:val="99"/>
    <w:unhideWhenUsed/>
    <w:rsid w:val="008217E9"/>
    <w:rPr>
      <w:color w:val="0563C1" w:themeColor="hyperlink"/>
      <w:u w:val="single"/>
    </w:rPr>
  </w:style>
  <w:style w:type="character" w:customStyle="1" w:styleId="UnresolvedMention1">
    <w:name w:val="Unresolved Mention1"/>
    <w:basedOn w:val="DefaultParagraphFont"/>
    <w:uiPriority w:val="99"/>
    <w:semiHidden/>
    <w:unhideWhenUsed/>
    <w:rsid w:val="008217E9"/>
    <w:rPr>
      <w:color w:val="605E5C"/>
      <w:shd w:val="clear" w:color="auto" w:fill="E1DFDD"/>
    </w:rPr>
  </w:style>
  <w:style w:type="character" w:styleId="CommentReference">
    <w:name w:val="annotation reference"/>
    <w:basedOn w:val="DefaultParagraphFont"/>
    <w:uiPriority w:val="99"/>
    <w:semiHidden/>
    <w:unhideWhenUsed/>
    <w:rsid w:val="009176E3"/>
    <w:rPr>
      <w:sz w:val="16"/>
      <w:szCs w:val="16"/>
    </w:rPr>
  </w:style>
  <w:style w:type="paragraph" w:styleId="CommentText">
    <w:name w:val="annotation text"/>
    <w:basedOn w:val="Normal"/>
    <w:link w:val="CommentTextChar"/>
    <w:uiPriority w:val="99"/>
    <w:semiHidden/>
    <w:unhideWhenUsed/>
    <w:rsid w:val="009176E3"/>
    <w:pPr>
      <w:spacing w:line="240" w:lineRule="auto"/>
    </w:pPr>
    <w:rPr>
      <w:sz w:val="20"/>
      <w:szCs w:val="20"/>
    </w:rPr>
  </w:style>
  <w:style w:type="character" w:customStyle="1" w:styleId="CommentTextChar">
    <w:name w:val="Comment Text Char"/>
    <w:basedOn w:val="DefaultParagraphFont"/>
    <w:link w:val="CommentText"/>
    <w:uiPriority w:val="99"/>
    <w:semiHidden/>
    <w:rsid w:val="009176E3"/>
    <w:rPr>
      <w:sz w:val="20"/>
      <w:szCs w:val="20"/>
    </w:rPr>
  </w:style>
  <w:style w:type="paragraph" w:styleId="CommentSubject">
    <w:name w:val="annotation subject"/>
    <w:basedOn w:val="CommentText"/>
    <w:next w:val="CommentText"/>
    <w:link w:val="CommentSubjectChar"/>
    <w:uiPriority w:val="99"/>
    <w:semiHidden/>
    <w:unhideWhenUsed/>
    <w:rsid w:val="009176E3"/>
    <w:rPr>
      <w:b/>
      <w:bCs/>
    </w:rPr>
  </w:style>
  <w:style w:type="character" w:customStyle="1" w:styleId="CommentSubjectChar">
    <w:name w:val="Comment Subject Char"/>
    <w:basedOn w:val="CommentTextChar"/>
    <w:link w:val="CommentSubject"/>
    <w:uiPriority w:val="99"/>
    <w:semiHidden/>
    <w:rsid w:val="009176E3"/>
    <w:rPr>
      <w:b/>
      <w:bCs/>
      <w:sz w:val="20"/>
      <w:szCs w:val="20"/>
    </w:rPr>
  </w:style>
  <w:style w:type="paragraph" w:styleId="BalloonText">
    <w:name w:val="Balloon Text"/>
    <w:basedOn w:val="Normal"/>
    <w:link w:val="BalloonTextChar"/>
    <w:uiPriority w:val="99"/>
    <w:semiHidden/>
    <w:unhideWhenUsed/>
    <w:rsid w:val="009176E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76E3"/>
    <w:rPr>
      <w:rFonts w:ascii="Times New Roman" w:hAnsi="Times New Roman" w:cs="Times New Roman"/>
      <w:sz w:val="18"/>
      <w:szCs w:val="18"/>
    </w:rPr>
  </w:style>
  <w:style w:type="paragraph" w:styleId="Header">
    <w:name w:val="header"/>
    <w:basedOn w:val="Normal"/>
    <w:link w:val="HeaderChar"/>
    <w:uiPriority w:val="99"/>
    <w:unhideWhenUsed/>
    <w:rsid w:val="00CB6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93A"/>
  </w:style>
  <w:style w:type="paragraph" w:styleId="Footer">
    <w:name w:val="footer"/>
    <w:basedOn w:val="Normal"/>
    <w:link w:val="FooterChar"/>
    <w:uiPriority w:val="99"/>
    <w:unhideWhenUsed/>
    <w:rsid w:val="00CB6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93A"/>
  </w:style>
  <w:style w:type="paragraph" w:styleId="Revision">
    <w:name w:val="Revision"/>
    <w:hidden/>
    <w:uiPriority w:val="99"/>
    <w:semiHidden/>
    <w:rsid w:val="002C1A2D"/>
    <w:pPr>
      <w:spacing w:after="0" w:line="240" w:lineRule="auto"/>
    </w:pPr>
  </w:style>
  <w:style w:type="paragraph" w:styleId="Caption">
    <w:name w:val="caption"/>
    <w:basedOn w:val="Normal"/>
    <w:next w:val="Normal"/>
    <w:uiPriority w:val="35"/>
    <w:unhideWhenUsed/>
    <w:qFormat/>
    <w:rsid w:val="00FD1C13"/>
    <w:pPr>
      <w:spacing w:after="200" w:line="240" w:lineRule="auto"/>
    </w:pPr>
    <w:rPr>
      <w:i/>
      <w:iCs/>
      <w:color w:val="44546A" w:themeColor="text2"/>
      <w:sz w:val="18"/>
      <w:szCs w:val="18"/>
    </w:rPr>
  </w:style>
  <w:style w:type="table" w:styleId="TableGrid">
    <w:name w:val="Table Grid"/>
    <w:basedOn w:val="TableNormal"/>
    <w:uiPriority w:val="39"/>
    <w:rsid w:val="00FD1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F104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7C0"/>
  </w:style>
  <w:style w:type="paragraph" w:styleId="Heading2">
    <w:name w:val="heading 2"/>
    <w:basedOn w:val="Normal"/>
    <w:next w:val="Normal"/>
    <w:link w:val="Heading2Char"/>
    <w:uiPriority w:val="9"/>
    <w:unhideWhenUsed/>
    <w:qFormat/>
    <w:rsid w:val="002357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57C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357C0"/>
    <w:pPr>
      <w:ind w:left="720"/>
      <w:contextualSpacing/>
    </w:pPr>
  </w:style>
  <w:style w:type="paragraph" w:customStyle="1" w:styleId="EndNoteBibliographyTitle">
    <w:name w:val="EndNote Bibliography Title"/>
    <w:basedOn w:val="Normal"/>
    <w:link w:val="EndNoteBibliographyTitleChar"/>
    <w:rsid w:val="008217E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217E9"/>
    <w:rPr>
      <w:rFonts w:ascii="Calibri" w:hAnsi="Calibri" w:cs="Calibri"/>
      <w:noProof/>
      <w:lang w:val="en-US"/>
    </w:rPr>
  </w:style>
  <w:style w:type="paragraph" w:customStyle="1" w:styleId="EndNoteBibliography">
    <w:name w:val="EndNote Bibliography"/>
    <w:basedOn w:val="Normal"/>
    <w:link w:val="EndNoteBibliographyChar"/>
    <w:rsid w:val="008217E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217E9"/>
    <w:rPr>
      <w:rFonts w:ascii="Calibri" w:hAnsi="Calibri" w:cs="Calibri"/>
      <w:noProof/>
      <w:lang w:val="en-US"/>
    </w:rPr>
  </w:style>
  <w:style w:type="character" w:styleId="Hyperlink">
    <w:name w:val="Hyperlink"/>
    <w:basedOn w:val="DefaultParagraphFont"/>
    <w:uiPriority w:val="99"/>
    <w:unhideWhenUsed/>
    <w:rsid w:val="008217E9"/>
    <w:rPr>
      <w:color w:val="0563C1" w:themeColor="hyperlink"/>
      <w:u w:val="single"/>
    </w:rPr>
  </w:style>
  <w:style w:type="character" w:customStyle="1" w:styleId="UnresolvedMention1">
    <w:name w:val="Unresolved Mention1"/>
    <w:basedOn w:val="DefaultParagraphFont"/>
    <w:uiPriority w:val="99"/>
    <w:semiHidden/>
    <w:unhideWhenUsed/>
    <w:rsid w:val="008217E9"/>
    <w:rPr>
      <w:color w:val="605E5C"/>
      <w:shd w:val="clear" w:color="auto" w:fill="E1DFDD"/>
    </w:rPr>
  </w:style>
  <w:style w:type="character" w:styleId="CommentReference">
    <w:name w:val="annotation reference"/>
    <w:basedOn w:val="DefaultParagraphFont"/>
    <w:uiPriority w:val="99"/>
    <w:semiHidden/>
    <w:unhideWhenUsed/>
    <w:rsid w:val="009176E3"/>
    <w:rPr>
      <w:sz w:val="16"/>
      <w:szCs w:val="16"/>
    </w:rPr>
  </w:style>
  <w:style w:type="paragraph" w:styleId="CommentText">
    <w:name w:val="annotation text"/>
    <w:basedOn w:val="Normal"/>
    <w:link w:val="CommentTextChar"/>
    <w:uiPriority w:val="99"/>
    <w:semiHidden/>
    <w:unhideWhenUsed/>
    <w:rsid w:val="009176E3"/>
    <w:pPr>
      <w:spacing w:line="240" w:lineRule="auto"/>
    </w:pPr>
    <w:rPr>
      <w:sz w:val="20"/>
      <w:szCs w:val="20"/>
    </w:rPr>
  </w:style>
  <w:style w:type="character" w:customStyle="1" w:styleId="CommentTextChar">
    <w:name w:val="Comment Text Char"/>
    <w:basedOn w:val="DefaultParagraphFont"/>
    <w:link w:val="CommentText"/>
    <w:uiPriority w:val="99"/>
    <w:semiHidden/>
    <w:rsid w:val="009176E3"/>
    <w:rPr>
      <w:sz w:val="20"/>
      <w:szCs w:val="20"/>
    </w:rPr>
  </w:style>
  <w:style w:type="paragraph" w:styleId="CommentSubject">
    <w:name w:val="annotation subject"/>
    <w:basedOn w:val="CommentText"/>
    <w:next w:val="CommentText"/>
    <w:link w:val="CommentSubjectChar"/>
    <w:uiPriority w:val="99"/>
    <w:semiHidden/>
    <w:unhideWhenUsed/>
    <w:rsid w:val="009176E3"/>
    <w:rPr>
      <w:b/>
      <w:bCs/>
    </w:rPr>
  </w:style>
  <w:style w:type="character" w:customStyle="1" w:styleId="CommentSubjectChar">
    <w:name w:val="Comment Subject Char"/>
    <w:basedOn w:val="CommentTextChar"/>
    <w:link w:val="CommentSubject"/>
    <w:uiPriority w:val="99"/>
    <w:semiHidden/>
    <w:rsid w:val="009176E3"/>
    <w:rPr>
      <w:b/>
      <w:bCs/>
      <w:sz w:val="20"/>
      <w:szCs w:val="20"/>
    </w:rPr>
  </w:style>
  <w:style w:type="paragraph" w:styleId="BalloonText">
    <w:name w:val="Balloon Text"/>
    <w:basedOn w:val="Normal"/>
    <w:link w:val="BalloonTextChar"/>
    <w:uiPriority w:val="99"/>
    <w:semiHidden/>
    <w:unhideWhenUsed/>
    <w:rsid w:val="009176E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76E3"/>
    <w:rPr>
      <w:rFonts w:ascii="Times New Roman" w:hAnsi="Times New Roman" w:cs="Times New Roman"/>
      <w:sz w:val="18"/>
      <w:szCs w:val="18"/>
    </w:rPr>
  </w:style>
  <w:style w:type="paragraph" w:styleId="Header">
    <w:name w:val="header"/>
    <w:basedOn w:val="Normal"/>
    <w:link w:val="HeaderChar"/>
    <w:uiPriority w:val="99"/>
    <w:unhideWhenUsed/>
    <w:rsid w:val="00CB6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93A"/>
  </w:style>
  <w:style w:type="paragraph" w:styleId="Footer">
    <w:name w:val="footer"/>
    <w:basedOn w:val="Normal"/>
    <w:link w:val="FooterChar"/>
    <w:uiPriority w:val="99"/>
    <w:unhideWhenUsed/>
    <w:rsid w:val="00CB6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93A"/>
  </w:style>
  <w:style w:type="paragraph" w:styleId="Revision">
    <w:name w:val="Revision"/>
    <w:hidden/>
    <w:uiPriority w:val="99"/>
    <w:semiHidden/>
    <w:rsid w:val="002C1A2D"/>
    <w:pPr>
      <w:spacing w:after="0" w:line="240" w:lineRule="auto"/>
    </w:pPr>
  </w:style>
  <w:style w:type="paragraph" w:styleId="Caption">
    <w:name w:val="caption"/>
    <w:basedOn w:val="Normal"/>
    <w:next w:val="Normal"/>
    <w:uiPriority w:val="35"/>
    <w:unhideWhenUsed/>
    <w:qFormat/>
    <w:rsid w:val="00FD1C13"/>
    <w:pPr>
      <w:spacing w:after="200" w:line="240" w:lineRule="auto"/>
    </w:pPr>
    <w:rPr>
      <w:i/>
      <w:iCs/>
      <w:color w:val="44546A" w:themeColor="text2"/>
      <w:sz w:val="18"/>
      <w:szCs w:val="18"/>
    </w:rPr>
  </w:style>
  <w:style w:type="table" w:styleId="TableGrid">
    <w:name w:val="Table Grid"/>
    <w:basedOn w:val="TableNormal"/>
    <w:uiPriority w:val="39"/>
    <w:rsid w:val="00FD1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F10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bs.gov.au/AUSSTATS/abs@.nsf/DetailsPage/3235.02016?OpenDocumen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2.health.vic.gov.au/about/reporting-planning-data/the-centre-for-victorian-data-linkage/for-researchers/vdl-data-linkage-projec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2.health.vic.gov.au/about/reporting-planning-data/the-centre-for-victorian-data-linkage/for-researcher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health.vic.gov.au/hdss/vaed/index.ht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B32E5-757D-47A9-A0BF-C1561E312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Oliver</dc:creator>
  <cp:lastModifiedBy>Paul Foley</cp:lastModifiedBy>
  <cp:revision>3</cp:revision>
  <dcterms:created xsi:type="dcterms:W3CDTF">2021-12-14T02:39:00Z</dcterms:created>
  <dcterms:modified xsi:type="dcterms:W3CDTF">2021-12-14T02:40:00Z</dcterms:modified>
</cp:coreProperties>
</file>